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OCD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SSRI/Clomipramine-tDCS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Contamination/Cleaning  □ Symmetry/Ordering  □ Harm/Checking  □ Rumination  □ Mixed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Obsessions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≥35% reduction in Y-BOCS obsession subscale or OCI-R score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Compulsions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≥35% reduction in Y-BOCS compulsion subscale; reduced ritual time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Anxiety/Distress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in distress associated with obsessive thoughts (DASS/GAD-7)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Function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daily functioning; reduced time lost to rituals; improved engagement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OCD symptom fluctuation during dose adjustment periods and stress-triggered OCD worsening.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Contamination/Cleaning (R-DLPFC cathodal)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Contamination obsessions; cleaning compulsions; OFC hyperactivation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R-DLPFC cathodal + SMA cathodal + ERP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(pilot RCT)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Symmetry/Ordering (SMA cathodal)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Symmetry/ordering compulsions; SMA hyperactivation; not-just-right experiences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SMA cathodal tDCS + habit reversal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Harm/Checking (R-DLPFC cathodal)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Harm obsessions; checking rituals; hyperactive OFC-thalamo-striatal circuit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R-DLPFC cathodal + ERP-based checking prevention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Rumination/Pure-O (DLPFC bilateral)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Mental compulsions, intrusive thoughts; DLPFC-OFC loop dysfunction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R-DLPFC cathodal + mindfulness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Treatment-resistant (multi-target)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SSRI response; severe impairment; OFC-basal ganglia-thalamic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TPS FT5/FT6 + tDCS + clomipramine optimisation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Comorbid tic/Tourette (SMA cathodal)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OCD + tics; SMA-striatal circuit hyperactivation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SMA cathodal + habit reversal + CBIT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SSRI at high therapeutic dose ≥8 weeks (steady-state)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OCD requires higher SSRI doses; serotonergic saturation needed for tDCS synergy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ERP therapy ongoing or recently completed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appears to augment fear extinction and ERP response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rather than severe OCD (Y-BOCS &lt;32)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Sufficient cortical inhibitory reserve for cathodal tDCS to reduce OFC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OFC-striatal-thalamic loop mapping guides inhibitory target selection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R-DLPFC cathodal / SMA cathodal for inhibitory effect on hyperactive OFC-striatal circuit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ERP integration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before ERP session may augment extinction learning window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Timing relative to ERP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Administer tDCS 30–60 min before ERP session for priming effect if applicable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OFC hyperactivation + striatal dysregulation guides cathodal montage selection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If baseline is assessed during a low-stress period and follow-up occurs during a stress-triggered OCD worsening, or if SSRI dose has been recently adjusted, you can create a false non-responder. Always document current stress level, recent triggers, medication phase, and ERP therapy stage at each assessment.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≥35% Y-BOCS reduction + meaningful functional improvement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maintenance with ERP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20–34% Y-BOCS reduction OR obsession reduction without compulsion change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Re-phenotype; adjust montage; review ERP integration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&lt;20% Y-BOCS change after adequate trial (10+ sessions)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 OCD with no ERP engagement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alone insufficient without extinction-based task component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Intensify ERP engagement; reconsider standalone NIBS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OCD + severe depression (BDI &gt; 30)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Depressive circuit competes with OCD circuit; dual pathology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Treat depression first; switch to L-DLPFC anodal protocol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SSRI non-compliance or sub-therapeutic dose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Insufficient serotonergic tone for OFC-striatal modulation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Optimise SSRI dose; psychiatry review; consider clomipramine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OCD with significant hoarding as primary subtype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Hoarding may involve different neural circuitry (vmPFC/ACC)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Hoarding-specific protocol review; specialist consultation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anti-obsessional agent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High-Dose SSRI/Clomipramine-tDCS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High-dose SSRIs modulate orbitofrontal-striatal circuits; serotonergic tone interacts with tDCS inhibitory effects on hyperactive OCD circuits.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SSRI Therapeutic Dose vs Titration Phase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Stable High-Dose SSRI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Titration / Dose Adjustment Phase (Avoid)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stable SSRI period (≥8 weeks at full therapeutic dose)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SSRI initiation, dose increase, or augmentation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OFC-Striatal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Consistent serotonergic modulation of OFC-basal ganglia circuit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Fluctuating receptor occupancy; unpredictable circuit state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Participation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ERP compliance; more stable anxiety habituation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OCD severity fluctuates with medication; compliance varies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Comparison Validity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Consistent within-block comparisons at stable dose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symptom variability; cannot attribute change to tDCS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High-dose SSRI + tDCS cathodal synergy requires stable serotonergic tone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Avoid; document if dose is being adjusted during block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Choose ONE medication phase for a block and keep it CONSISTENT. OCD symptom fluctuation during SSRI dose titration and stress-triggered worsening are the most common sources of false classification.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SSRI/Clomipramine Name &amp;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Duration at Current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ERP Therapy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Active  □ Completed  □ Not receiving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Stress Level at Session Start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Low  □ Moderate  □ 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Recent OCD Trigger Exposure?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None  □ Yes — Type: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Chosen Phase for Block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Stable high-dose (default)  □ Titration (document rationale)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Keep consistent: ___:___ AM/PM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Anti-Obsessional + tDCS Pairing by OCD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Contamination/Cleaning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R-DLPFC cathodal 2mA + SMA cathodal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ERP: contamination hierarchy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Y-BOCS, OCI-R contamination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Symmetry/Ordering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SMA cathodal tDCS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Habit reversal + response prevention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Y-BOCS, OCI-R ordering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Harm/Checking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R-DLPFC cathodal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ERP: checking prevention hierarchy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Y-BOCS, OCI-R checking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Rumination/Pure-O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R-DLPFC cathodal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Mindfulness-based defusion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Y-BOCS obsessions, OBQ, DOCS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OCD Medication-tDCS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SSRI/clomipramine name, dose, and duration at full therapeutic dose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ERP therapy status and recent session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Stress level and OCD trigger exposure before session noted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OCD state and medication phase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in same medication phase and stress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dose changes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ERP integration timing relative to tDCS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 consistent across block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interpreted with medication phase and ERP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Anti-obsessional agent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an adjunctive intervention alongside high-dose SSRI and ERP therapy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replaces ERP or cures OCD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Effects may augment ERP extinction learning when used as a priming tool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eliminates obsessions or compulsions independently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emerging; response is better when ERP is ongoing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equivalent to high-dose SSRI for OCD treatment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