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3A5C"/>
          <w:sz w:val="28"/>
          <w:szCs w:val="28"/>
        </w:rPr>
        <w:t xml:space="preserve">SOZO BRAIN CENTER — PARTNERS TIER</w:t>
      </w:r>
    </w:p>
    <w:p>
      <w:pPr>
        <w:spacing w:after="80" w:before="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34"/>
          <w:szCs w:val="34"/>
        </w:rPr>
        <w:t>Stroke Responder Tracking &amp; Classification</w:t>
      </w:r>
    </w:p>
    <w:p>
      <w:pPr>
        <w:spacing w:after="60" w:before="0" w:line="276"/>
        <w:jc w:val="center"/>
      </w:pPr>
      <w:r>
        <w:rPr>
          <w:rFonts w:ascii="Arial" w:cs="Arial" w:eastAsia="Arial" w:hAnsi="Arial"/>
          <w:b w:val="0"/>
          <w:bCs w:val="false"/>
          <w:i w:val="false"/>
          <w:iCs w:val="false"/>
          <w:color w:val="1B3A5C"/>
          <w:sz w:val="22"/>
          <w:szCs w:val="22"/>
        </w:rPr>
        <w:t>SOZO Response Assessment, Antiplatelet/SSRI-tDCS Documentation &amp; FNON Non-Responder Pathway</w:t>
      </w:r>
    </w:p>
    <w:p>
      <w:pPr>
        <w:pBdr>
          <w:top w:val="single" w:color="7B2D8E" w:sz="2"/>
          <w:left w:val="single" w:color="7B2D8E" w:sz="2"/>
          <w:bottom w:val="single" w:color="7B2D8E" w:sz="2"/>
          <w:right w:val="single" w:color="7B2D8E" w:sz="2"/>
        </w:pBdr>
        <w:shd w:fill="F0E6F6" w:val="clear"/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color w:val="7B2D8E"/>
          <w:sz w:val="20"/>
          <w:szCs w:val="20"/>
        </w:rPr>
        <w:t xml:space="preserve">FNON + Evidence-Based Assessment — Includes Brain Network Analysis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Patient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File Number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Phenotype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Motor (UL)  □ Motor (LL/Gait)  □ Aphasia  □ Cognitive  □ Mixed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Symptom Severity / Stage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Treating Doctor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Assessment Point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 Session 8–10  □ End of Block  □ Follow-Up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Sessions Completed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___ / ___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200" w:before="360"/>
      </w:pPr>
      <w:bookmarkStart w:name="1__SOZO_Operational_Response_Definition" w:id="1"/>
      <w:r>
        <w:rPr>
          <w:rFonts w:ascii="Arial" w:cs="Arial" w:eastAsia="Arial" w:hAnsi="Arial"/>
          <w:b/>
          <w:bCs/>
          <w:i w:val="false"/>
          <w:iCs w:val="false"/>
          <w:color w:val="1B3A5C"/>
          <w:sz w:val="28"/>
          <w:szCs w:val="28"/>
        </w:rPr>
        <w:t xml:space="preserve">1. SOZO Operational Response Definition</w:t>
      </w:r>
      <w:bookmarkEnd w:id="2"/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Define response at end of block (typically 10–20 sessions). Patient must meet criteria in at least one domain.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0"/>
        <w:gridCol w:w="1000"/>
        <w:gridCol w:w="2960"/>
      </w:tblGrid>
      <w:t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Domain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Response Criteria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Met?</w:t>
            </w:r>
          </w:p>
        </w:tc>
        <w:tc>
          <w:tcPr>
            <w:tcW w:type="dxa" w:w="2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Notes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Upper Limb Motor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Clinically meaningful improvement on Fugl-Meyer UL or ARAT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Y □ 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Gait / Lower Limb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Improvement in 10m walk, 6MWT, or Tinetti balance assessment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Y □ 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Cognition/Aphasia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Improvement on MoCA, BNT, or communication measures (WAB)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Y □ 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Function/ADLs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Better independence on Barthel Index or FIM by clinician report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Y □ 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</w:tbl>
    <w:p>
      <w:pPr>
        <w:pBdr>
          <w:top w:val="single" w:color="2E75B6" w:sz="2"/>
          <w:left w:val="single" w:color="2E75B6" w:sz="2"/>
          <w:bottom w:val="single" w:color="2E75B6" w:sz="2"/>
          <w:right w:val="single" w:color="2E75B6" w:sz="2"/>
        </w:pBdr>
        <w:shd w:fill="D6E4F0" w:val="clear"/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color w:val="1B3A5C"/>
          <w:sz w:val="20"/>
          <w:szCs w:val="20"/>
        </w:rPr>
        <w:t>This avoids "false non-responder" labelling due to spontaneous recovery confounds and fatigue-related performance variability post-stroke.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200" w:before="360"/>
      </w:pPr>
      <w:bookmarkStart w:name="2__Likely_Responder_Profiles" w:id="3"/>
      <w:r>
        <w:rPr>
          <w:rFonts w:ascii="Arial" w:cs="Arial" w:eastAsia="Arial" w:hAnsi="Arial"/>
          <w:b/>
          <w:bCs/>
          <w:i w:val="false"/>
          <w:iCs w:val="false"/>
          <w:color w:val="1B3A5C"/>
          <w:sz w:val="28"/>
          <w:szCs w:val="28"/>
        </w:rPr>
        <w:t xml:space="preserve">2. Likely Responder Profiles</w:t>
      </w:r>
      <w:bookmarkEnd w:id="4"/>
    </w:p>
    <w:p>
      <w:pPr>
        <w:pBdr>
          <w:top w:val="single" w:color="7B2D8E" w:sz="2"/>
          <w:left w:val="single" w:color="7B2D8E" w:sz="2"/>
          <w:bottom w:val="single" w:color="7B2D8E" w:sz="2"/>
          <w:right w:val="single" w:color="7B2D8E" w:sz="2"/>
        </w:pBdr>
        <w:shd w:fill="F0E6F6" w:val="clear"/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color w:val="7B2D8E"/>
          <w:sz w:val="20"/>
          <w:szCs w:val="20"/>
        </w:rPr>
        <w:t xml:space="preserve">FNON-based responder profiling maps treatment targets to network hypotheses for optimised protocol selection.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200"/>
        <w:gridCol w:w="23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Phenotype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Best-Fit Patient Profile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Protocol</w:t>
            </w:r>
          </w:p>
        </w:tc>
        <w:tc>
          <w:tcPr>
            <w:tcW w:type="dxa" w:w="2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Evidence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Motor UL (M1 ipsilesional)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Upper limb motor deficit; corticospinal tract partially preserved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Ipsilesional M1 anodal + contralesional M1 cathodal + task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Strong (RCT support)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Motor LL / Gait (M1/SMA)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Gait impairment; SMA and M1 LE involved; ambulatory patient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SMA/M1 tDCS + gait training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Moderate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Aphasia (Wernicke/Broca)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Expressive or receptive aphasia; left perisylvian involvement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L temporal/parietal tDCS + speech therapy tasks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Moderate (meta-analysis)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Cognitive post-stroke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Post-stroke cognitive impairment; PFC-thalamo-cortical disruption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DLPFC tDCS + cognitive rehabilitation tasks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Emerging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Spasticity/Pain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Post-stroke spasticity with central pain; motor-sensory circuit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M1 + TPS FT9 + motor tasks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Emerging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Depression comorbid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Post-stroke depression; limbic-PFC disruption; mood-motor interaction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DLPFC tDCS + taVNS + behavioural activation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Moderate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200" w:before="360"/>
      </w:pPr>
      <w:bookmarkStart w:name="3__Predictors_of_Better_Response" w:id="5"/>
      <w:r>
        <w:rPr>
          <w:rFonts w:ascii="Arial" w:cs="Arial" w:eastAsia="Arial" w:hAnsi="Arial"/>
          <w:b/>
          <w:bCs/>
          <w:i w:val="false"/>
          <w:iCs w:val="false"/>
          <w:color w:val="1B3A5C"/>
          <w:sz w:val="28"/>
          <w:szCs w:val="28"/>
        </w:rPr>
        <w:t xml:space="preserve">3. Predictors of Better Response</w:t>
      </w:r>
      <w:bookmarkEnd w:id="6"/>
    </w:p>
    <w:p>
      <w:pPr>
        <w:pStyle w:val="Heading2"/>
        <w:spacing w:after="160" w:before="280"/>
      </w:pPr>
      <w:bookmarkStart w:name="3A__Clinical_Predictors" w:id="7"/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3A. Clinical Predictors</w:t>
      </w:r>
      <w:bookmarkEnd w:id="8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000"/>
        <w:gridCol w:w="216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Predictor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Why It Matters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Present?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Subacute phase (1 week – 6 months post-stroke)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Peak neuroplasticity window; best gains expected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Y □ 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Preserved motor evoked potential on TMS/clinical exam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Intact corticospinal tract indicates plasticity substrate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Y □ 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Capacity for active task participation during tDCS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Activity-dependent plasticity requires motor engagement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Y □ 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Network hypothesis confirmed by 6-Network Assessment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FNON interhemispheric imbalance mapping guides montage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Y □ N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bookmarkStart w:name="3B__Protocol_Predictors__Modifiable_" w:id="9"/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3B. Protocol Predictors (Modifiable)</w:t>
      </w:r>
      <w:bookmarkEnd w:id="10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Factor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Recommendation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Target choice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Ipsilesional M1 for motor; contralateral inhibition for interhemispheric balance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Recovery phase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Subacute phase offers best neuroplasticity window; chronic phase requires more sessions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Concurrent task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Task-specific rehabilitation during tDCS is essential (not rest)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Network alignment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FNON interhemispheric imbalance hypothesis guides bihemispheric montage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bookmarkStart w:name="3C__Measurement_Predictors" w:id="11"/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3C. Measurement Predictors</w:t>
      </w:r>
      <w:bookmarkEnd w:id="12"/>
    </w:p>
    <w:p>
      <w:pPr>
        <w:pBdr>
          <w:top w:val="single" w:color="CC0000" w:sz="2"/>
          <w:left w:val="single" w:color="CC0000" w:sz="2"/>
          <w:bottom w:val="single" w:color="CC0000" w:sz="2"/>
          <w:right w:val="single" w:color="CC0000" w:sz="2"/>
        </w:pBdr>
        <w:shd w:fill="FFD9D9" w:val="clear"/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color w:val="CC0000"/>
          <w:sz w:val="20"/>
          <w:szCs w:val="20"/>
        </w:rPr>
        <w:t>WARNING: Spontaneous neurological recovery in the first 3–6 months post-stroke can create false responders independent of tDCS. Fatigue-related performance decline during sessions can create false non-responders. Always document time since stroke, session fatigue level, and recovery phase at each assessment.</w:t>
      </w:r>
    </w:p>
    <w:p>
      <w:r>
        <w:br w:type="page"/>
      </w:r>
    </w:p>
    <w:p>
      <w:pPr>
        <w:pStyle w:val="Heading1"/>
        <w:spacing w:after="200" w:before="360"/>
      </w:pPr>
      <w:bookmarkStart w:name="4__SOZO_Response_Classification" w:id="13"/>
      <w:r>
        <w:rPr>
          <w:rFonts w:ascii="Arial" w:cs="Arial" w:eastAsia="Arial" w:hAnsi="Arial"/>
          <w:b/>
          <w:bCs/>
          <w:i w:val="false"/>
          <w:iCs w:val="false"/>
          <w:color w:val="1B3A5C"/>
          <w:sz w:val="28"/>
          <w:szCs w:val="28"/>
        </w:rPr>
        <w:t xml:space="preserve">4. SOZO Response Classification</w:t>
      </w:r>
      <w:bookmarkEnd w:id="14"/>
    </w:p>
    <w:p>
      <w:pPr>
        <w:spacing w:after="120" w:before="0" w:line="276"/>
        <w:jc w:val="left"/>
      </w:pPr>
      <w:r>
        <w:rPr>
          <w:rFonts w:ascii="Arial" w:cs="Arial" w:eastAsia="Arial" w:hAnsi="Arial"/>
          <w:b w:val="0"/>
          <w:bCs w:val="false"/>
          <w:i w:val="false"/>
          <w:iCs w:val="false"/>
          <w:color w:val="000000"/>
          <w:sz w:val="22"/>
          <w:szCs w:val="22"/>
        </w:rPr>
        <w:t>Use at Session 10 (or 8–10) and again at end of block: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Classification</w:t>
            </w:r>
          </w:p>
        </w:tc>
        <w:tc>
          <w:tcPr>
            <w:tcW w:type="dxa" w:w="3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Criteria</w:t>
            </w:r>
          </w:p>
        </w:tc>
        <w:tc>
          <w:tcPr>
            <w:tcW w:type="dxa" w:w="3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Responder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Clinically meaningful improvement on primary motor/functional measure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Continue protocol; document recovery phase contribution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Partial Responder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Measurable gain below MCID threshold OR improvement in one domain only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Adjust montage; intensify task; review recovery phase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Non-Responder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No meaningful improvement beyond expected spontaneous recovery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Follow FNON Non-Responder Pathway (Section 6)</w:t>
            </w:r>
          </w:p>
        </w:tc>
      </w:tr>
    </w:tbl>
    <w:p>
      <w:pPr>
        <w:spacing w:after="12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PATIENT CLASSIFICATION: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□ Responder  □ Partial Responder  □ Non-Responder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200" w:before="360"/>
      </w:pPr>
      <w:bookmarkStart w:name="5__Likely_Non_Responder_Profiles" w:id="15"/>
      <w:r>
        <w:rPr>
          <w:rFonts w:ascii="Arial" w:cs="Arial" w:eastAsia="Arial" w:hAnsi="Arial"/>
          <w:b/>
          <w:bCs/>
          <w:i w:val="false"/>
          <w:iCs w:val="false"/>
          <w:color w:val="1B3A5C"/>
          <w:sz w:val="28"/>
          <w:szCs w:val="28"/>
        </w:rPr>
        <w:t xml:space="preserve">5. Likely Non-Responder Profiles</w:t>
      </w:r>
      <w:bookmarkEnd w:id="16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Profile</w:t>
            </w:r>
          </w:p>
        </w:tc>
        <w:tc>
          <w:tcPr>
            <w:tcW w:type="dxa" w:w="3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Why Limited Response</w:t>
            </w:r>
          </w:p>
        </w:tc>
        <w:tc>
          <w:tcPr>
            <w:tcW w:type="dxa" w:w="3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Alternative Strategy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Chronic stroke (&gt;12 months) with severe deficit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Limited remaining neuroplasticity; dense lesion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TPS pathway; supportive rehabilitation; CES adjunct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Complete corticospinal tract lesion (confirmed)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No substrate for motor plasticity-based recovery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Consider discontinuation; supportive ADL focus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Significant post-stroke fatigue limiting sessions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Fatigue reduces task engagement and plasticity induction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Shorter sessions; CES for fatigue; schedule review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Post-stroke seizure history (uncontrolled)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Safety contraindication; seizure threshold concerns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Neurology review; defer NIBS until seizure-controlled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bookmarkStart w:name="6__SOZO_Non_Responder_Pathway__FNON_Level_5_" w:id="17"/>
      <w:r>
        <w:rPr>
          <w:rFonts w:ascii="Arial" w:cs="Arial" w:eastAsia="Arial" w:hAnsi="Arial"/>
          <w:b/>
          <w:bCs/>
          <w:i w:val="false"/>
          <w:iCs w:val="false"/>
          <w:color w:val="1B3A5C"/>
          <w:sz w:val="28"/>
          <w:szCs w:val="28"/>
        </w:rPr>
        <w:t xml:space="preserve">6. SOZO Non-Responder Pathway (FNON Level 5)</w:t>
      </w:r>
      <w:bookmarkEnd w:id="18"/>
    </w:p>
    <w:p>
      <w:pPr>
        <w:pBdr>
          <w:top w:val="single" w:color="7B2D8E" w:sz="2"/>
          <w:left w:val="single" w:color="7B2D8E" w:sz="2"/>
          <w:bottom w:val="single" w:color="7B2D8E" w:sz="2"/>
          <w:right w:val="single" w:color="7B2D8E" w:sz="2"/>
        </w:pBdr>
        <w:shd w:fill="F0E6F6" w:val="clear"/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color w:val="7B2D8E"/>
          <w:sz w:val="20"/>
          <w:szCs w:val="20"/>
        </w:rPr>
        <w:t xml:space="preserve">If no meaningful improvement after 8–10 sessions, follow FNON Level 5 adjustment pathway: Reassess phenotype → Revise network hypothesis → Modify montage/modality.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4400"/>
        <w:gridCol w:w="1960"/>
      </w:tblGrid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1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Done?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Confirm Fundamentals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Correct montage, impedance, session compliance, dose timing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Re-Phenotype (FNON Level 1)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Is it truly motor-dominant or executive-dominant? Recheck 6-Network scores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Revise Network Hypothesis (FNON Level 2)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Map revised phenotype to new network targets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Change Target (FNON Level 3)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Switch montage AND/OR switch modality based on revised hypothesis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Review Medication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>Review ON/OFF state variability; standardise antiplatelet/neurorestorative agent timing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Add Modality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Add TPS if tDCS alone; add taVNS if limbic involvement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Consider Discontinuation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If no response after 2 full blocks, document and discuss with patient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</w:tr>
    </w:tbl>
    <w:p>
      <w:pPr>
        <w:pBdr>
          <w:top w:val="single" w:color="CC0000" w:sz="2"/>
          <w:left w:val="single" w:color="CC0000" w:sz="2"/>
          <w:bottom w:val="single" w:color="CC0000" w:sz="2"/>
          <w:right w:val="single" w:color="CC0000" w:sz="2"/>
        </w:pBdr>
        <w:shd w:fill="FFD9D9" w:val="clear"/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color w:val="CC0000"/>
          <w:sz w:val="20"/>
          <w:szCs w:val="20"/>
        </w:rPr>
        <w:t>DO NOT escalate intensity beyond safety limits. Always follow SOZO FNON Protocol safety parameters.</w:t>
      </w:r>
    </w:p>
    <w:p>
      <w:r>
        <w:br w:type="page"/>
      </w:r>
    </w:p>
    <w:p>
      <w:pPr>
        <w:pStyle w:val="Heading1"/>
        <w:spacing w:after="200" w:before="360"/>
      </w:pPr>
      <w:bookmarkStart w:name="7__Levodopa_tDCS_Scheduling___Documentation" w:id="19"/>
      <w:r>
        <w:rPr>
          <w:rFonts w:ascii="Arial" w:cs="Arial" w:eastAsia="Arial" w:hAnsi="Arial"/>
          <w:b/>
          <w:bCs/>
          <w:i w:val="false"/>
          <w:iCs w:val="false"/>
          <w:color w:val="1B3A5C"/>
          <w:sz w:val="28"/>
          <w:szCs w:val="28"/>
        </w:rPr>
        <w:t>7. Antiplatelet/SSRI-tDCS Scheduling &amp; Documentation</w:t>
      </w:r>
      <w:bookmarkEnd w:id="20"/>
    </w:p>
    <w:p>
      <w:pPr>
        <w:spacing w:after="120" w:before="0" w:line="276"/>
        <w:jc w:val="left"/>
      </w:pPr>
      <w:r>
        <w:rPr>
          <w:rFonts w:ascii="Arial" w:cs="Arial" w:eastAsia="Arial" w:hAnsi="Arial"/>
          <w:b w:val="0"/>
          <w:bCs w:val="false"/>
          <w:i w:val="false"/>
          <w:iCs w:val="false"/>
          <w:color w:val="000000"/>
          <w:sz w:val="22"/>
          <w:szCs w:val="22"/>
        </w:rPr>
        <w:t>tDCS effects are state-dependent. SSRIs given post-stroke (e.g., fluoxetine) modulate motor cortex excitability and neuroplasticity; antiplatelet safety profile must be confirmed.</w:t>
      </w:r>
    </w:p>
    <w:p>
      <w:pPr>
        <w:pStyle w:val="Heading2"/>
        <w:spacing w:after="160" w:before="280"/>
      </w:pPr>
      <w:bookmarkStart w:name="7A__ON_State_vs_OFF_State_Comparison" w:id="21"/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>7A. SSRI Medicated vs Non-Medicated State Comparison</w:t>
      </w:r>
      <w:bookmarkEnd w:id="22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Factor</w:t>
            </w:r>
          </w:p>
        </w:tc>
        <w:tc>
          <w:tcPr>
            <w:tcW w:type="dxa" w:w="3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SSRI-Medicated State (Default SOZO)</w:t>
            </w:r>
          </w:p>
        </w:tc>
        <w:tc>
          <w:tcPr>
            <w:tcW w:type="dxa" w:w="3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Non-Medicated State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Definition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tDCS during stable SSRI period (fluoxetine ≥4 weeks where prescribed)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tDCS without neurorestorative SSRI (antiplatelet only)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Motor Plasticity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SSRI enhances motor cortex excitability and neuroplasticity post-stroke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Baseline plasticity without serotonergic enhancement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Task Participation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Generally better mood and motivation with SSRI treatment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May have lower engagement if post-stroke depression present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Comparison Validity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Consistent within-block if SSRI dose is stable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Valid comparison if SSRI not used; document explicitly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Evidence Support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FLAME trial supports fluoxetine + motor rehab combination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Standard rehabilitation without serotonergic augmentation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bookmarkStart w:name="7B__SOZO_Scheduling_Rules" w:id="23"/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7B. SOZO Scheduling Rules</w:t>
      </w:r>
      <w:bookmarkEnd w:id="24"/>
    </w:p>
    <w:p>
      <w:pPr>
        <w:pBdr>
          <w:top w:val="single" w:color="CC0000" w:sz="2"/>
          <w:left w:val="single" w:color="CC0000" w:sz="2"/>
          <w:bottom w:val="single" w:color="CC0000" w:sz="2"/>
          <w:right w:val="single" w:color="CC0000" w:sz="2"/>
        </w:pBdr>
        <w:shd w:fill="FFD9D9" w:val="clear"/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color w:val="CC0000"/>
          <w:sz w:val="20"/>
          <w:szCs w:val="20"/>
        </w:rPr>
        <w:t>SOZO Standard Rule: Choose ONE medication and recovery phase state for a block and keep it CONSISTENT. Spontaneous recovery combined with treatment effects is one of the most common attribution challenges in stroke rehabilitation.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Domain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Antiplatelet/Anticoagulant Name &amp; Dose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SSRI (if prescribed post-stroke)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___ Name/Dose — Duration: ___ weeks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Time Since Stroke (Recovery Phase)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Acute (&lt;1wk)  □ Subacute (1wk–6mo)  □ Chronic (&gt;6mo)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Session Fatigue Level at Start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Low  □ Moderate  □ High — VAS: ___/10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Chosen Medication State for Block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With SSRI (if prescribed)  □ Antiplatelet 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Session Duration Adapted for Fatigue?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Yes — Reduced to ___ min  □ 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Session Start Time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Keep consistent: ___:___ AM/PM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bookmarkStart w:name="7C__Levodopa___tDCS_Pairing_by_PD_Phenotype" w:id="25"/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>7C. Antiplatelet/SSRI + tDCS Pairing by Stroke Phenotype</w:t>
      </w:r>
      <w:bookmarkEnd w:id="26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800"/>
        <w:gridCol w:w="2560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Phenotype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tDCS Config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Concurrent Task</w:t>
            </w:r>
          </w:p>
        </w:tc>
        <w:tc>
          <w:tcPr>
            <w:tcW w:type="dxa" w:w="2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Outcome Measures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Motor UL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Ipsilesional M1 anodal 2mA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Task-specific UL rehabilitation during tDCS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Fugl-Meyer UL, ARAT, grip strength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Motor LL / Gait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SMA/M1 LE anodal + contralesional cathodal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Gait training / stepping tasks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10m walk, 6MWT, Tinetti, BBS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Aphasia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L temporal/parietal anodal + SLP tasks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Speech-language therapy tasks during tDCS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WAB-R, BNT, CETI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Cognitive post-stroke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DLPFC anodal + cognitive tasks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Cognitive rehabilitation exercises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MoCA, Barthel, TMT-B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bookmarkStart w:name="7D__Levodopa_tDCS_Documentation_Checklist" w:id="27"/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>7D. Post-Stroke Medication-tDCS Documentation Checklist</w:t>
      </w:r>
      <w:bookmarkEnd w:id="28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000"/>
        <w:gridCol w:w="1960"/>
      </w:tblGrid>
      <w:tr>
        <w:tc>
          <w:tcPr>
            <w:tcW w:type="dxa" w:w="5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Documentation Item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Completed</w:t>
            </w:r>
          </w:p>
        </w:tc>
        <w:tc>
          <w:tcPr>
            <w:tcW w:type="dxa" w:w="1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N/A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Antiplatelet/SSRI name, dose, and duration recorded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Yes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Recovery phase (acute/subacute/chronic) documented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Yes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Spontaneous recovery contribution acknowledged in assessment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Yes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Session fatigue level rated at each session start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Yes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Baseline assessment recovery phase and medication state recorded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Yes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Follow-up in same recovery phase window (within same block)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Yes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Medication changes during block documented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Yes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Session start time consistent across block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Yes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Outcomes interpreted with recovery phase context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Yes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bookmarkStart w:name="8__SOZO_Responder_Signature_Data_Collection" w:id="29"/>
      <w:r>
        <w:rPr>
          <w:rFonts w:ascii="Arial" w:cs="Arial" w:eastAsia="Arial" w:hAnsi="Arial"/>
          <w:b/>
          <w:bCs/>
          <w:i w:val="false"/>
          <w:iCs w:val="false"/>
          <w:color w:val="1B3A5C"/>
          <w:sz w:val="28"/>
          <w:szCs w:val="28"/>
        </w:rPr>
        <w:t xml:space="preserve">8. SOZO Responder Signature Data Collection</w:t>
      </w:r>
      <w:bookmarkEnd w:id="30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800"/>
        <w:gridCol w:w="1960"/>
      </w:tblGrid>
      <w:t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Data Point</w:t>
            </w:r>
          </w:p>
        </w:tc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 / Detail</w:t>
            </w:r>
          </w:p>
        </w:tc>
        <w:tc>
          <w:tcPr>
            <w:tcW w:type="dxa" w:w="1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Recorded?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Phenotype label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H&amp;Y stage + disease duration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Stage: ___ Duration: ___ years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Montage + protocol 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Network hypothesis (FNON Level 2)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Concurrent task type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Number of sessions completed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___ / ___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>Antiplatelet/neurorestorative agent timing protocol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Baseline PRS / outcome scores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Follow-up PRS / outcome scores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Response classification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 Responder □ Partial □ Non-Responder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Adverse events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bookmarkStart w:name="Regulator_Safe_Language_Guide" w:id="31"/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Regulator-Safe Language Guide</w:t>
      </w:r>
      <w:bookmarkEnd w:id="32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Appropriate to State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AVOID Stating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tDCS is an adjunctive intervention alongside standard stroke rehabilitation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tDCS independently drives stroke recovery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Effects may reflect a combination of tDCS and spontaneous recovery; both are documented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tDCS prevents further stroke events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Evidence is moderate for motor and aphasia applications; effect sizes vary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tDCS is as effective as intensive physiotherapy alone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Clinical Notes &amp; Rationale: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Doctor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360"/>
      </w:tabs>
    </w:pPr>
    <w:r>
      <w:rPr>
        <w:rFonts w:ascii="Arial" w:cs="Arial" w:eastAsia="Arial" w:hAnsi="Arial"/>
        <w:b w:val="false"/>
        <w:bCs w:val="false"/>
        <w:i w:val="false"/>
        <w:iCs w:val="false"/>
        <w:color w:val="1B3A5C"/>
        <w:sz w:val="16"/>
        <w:szCs w:val="16"/>
      </w:rPr>
      <w:t xml:space="preserve">CONFIDENTIAL — SOZO Brain Center</w:t>
    </w: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22"/>
        <w:szCs w:val="22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1B3A5C"/>
        <w:sz w:val="16"/>
        <w:szCs w:val="16"/>
      </w:rPr>
      <w:t xml:space="preserve">Page </w:t>
    </w:r>
    <w:r>
      <w:rPr>
        <w:rFonts w:ascii="Arial" w:cs="Arial" w:eastAsia="Arial" w:hAnsi="Arial"/>
        <w:color w:val="1B3A5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b w:val="false"/>
        <w:bCs w:val="false"/>
        <w:i/>
        <w:iCs/>
        <w:color w:val="2E75B6"/>
        <w:sz w:val="16"/>
        <w:szCs w:val="16"/>
      </w:rPr>
      <w:t xml:space="preserve">SOZO FNON — PD Responder Tracking &amp; Classification | Partners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B3A5C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2026-03-13T14:16:32.270Z</dcterms:created>
  <dcterms:modified xsi:type="dcterms:W3CDTF">2026-03-13T14:16:32.270Z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