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B3A5C"/>
          <w:sz w:val="32"/>
        </w:rPr>
        <w:t>SOZO BRAIN CENTER — PARTNERS TIER</w:t>
      </w:r>
    </w:p>
    <w:p>
      <w:pPr>
        <w:jc w:val="center"/>
      </w:pPr>
      <w:r>
        <w:rPr>
          <w:rFonts w:ascii="Calibri" w:hAnsi="Calibri"/>
          <w:b/>
          <w:i w:val="0"/>
          <w:color w:val="2E75B6"/>
          <w:sz w:val="28"/>
        </w:rPr>
        <w:t>TBI-Specific 6-Network Bedside Assessment</w:t>
      </w:r>
    </w:p>
    <w:p>
      <w:pPr>
        <w:shd w:val="clear" w:color="auto" w:fill="7B2D8E"/>
        <w:jc w:val="center"/>
      </w:pPr>
      <w:r>
        <w:rPr>
          <w:rFonts w:ascii="Calibri" w:hAnsi="Calibri"/>
          <w:b/>
          <w:i w:val="0"/>
          <w:color w:val="FFFFFF"/>
          <w:sz w:val="22"/>
        </w:rPr>
        <w:t>🟣 FNON + Evidence-Based Assessment — Includes Brain Network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Patient Name: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Birth: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Assessment: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Clinician: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Session Number: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Medication State: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  /  OFF  /  Wash-out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Primary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Secondary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Current Medications: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Referral Source: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Notes: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Scoring Key: </w:t>
      </w:r>
      <w:r>
        <w:rPr>
          <w:rFonts w:ascii="Calibri" w:hAnsi="Calibri"/>
          <w:b w:val="0"/>
          <w:i w:val="0"/>
          <w:color w:val="2E75B6"/>
          <w:sz w:val="22"/>
        </w:rPr>
        <w:t xml:space="preserve">HYPO (1)  |  </w:t>
      </w:r>
      <w:r>
        <w:rPr>
          <w:rFonts w:ascii="Calibri" w:hAnsi="Calibri"/>
          <w:b w:val="0"/>
          <w:i w:val="0"/>
          <w:color w:val="1B3A5C"/>
          <w:sz w:val="22"/>
        </w:rPr>
        <w:t xml:space="preserve">NORMAL (0)  |  </w:t>
      </w:r>
      <w:r>
        <w:rPr>
          <w:rFonts w:ascii="Calibri" w:hAnsi="Calibri"/>
          <w:b w:val="0"/>
          <w:i w:val="0"/>
          <w:color w:val="CC0000"/>
          <w:sz w:val="22"/>
        </w:rPr>
        <w:t>HYPER (2)</w:t>
      </w:r>
      <w:r>
        <w:rPr>
          <w:rFonts w:ascii="Calibri" w:hAnsi="Calibri"/>
          <w:b/>
          <w:i w:val="0"/>
          <w:color w:val="1B3A5C"/>
          <w:sz w:val="22"/>
        </w:rPr>
        <w:t xml:space="preserve">          Total: 44 Tests (Max Score: 88)</w:t>
      </w:r>
    </w:p>
    <w:p>
      <w:pPr>
        <w:shd w:val="clear" w:color="auto" w:fill="7B2D8E"/>
      </w:pPr>
      <w:r>
        <w:rPr>
          <w:rFonts w:ascii="Calibri" w:hAnsi="Calibri"/>
          <w:b/>
          <w:i w:val="0"/>
          <w:color w:val="FFFFFF"/>
          <w:sz w:val="20"/>
        </w:rPr>
        <w:t xml:space="preserve">🟣 TBI-Adapted Version: </w:t>
      </w:r>
      <w:r>
        <w:rPr>
          <w:rFonts w:ascii="Calibri" w:hAnsi="Calibri"/>
          <w:b w:val="0"/>
          <w:i w:val="0"/>
          <w:color w:val="FFFFFF"/>
          <w:sz w:val="20"/>
        </w:rPr>
        <w:t>Includes post-concussion symptom markers, white matter disconnection tests, and TBI severity phenotype indicators</w:t>
      </w:r>
    </w:p>
    <w:p/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Default Mode Network (DMN)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Post-Traumatic Narrative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patient to describe the TBI event and recovery. Note coherence, gaps, temporal sequence.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Coherent narrative; appropriate emotional processing; peri-injury gap is expected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Sparse or absent narrative; poor self-awareness; anosognosia; frontal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Highly distressing; intrusive re-experiencing; PTSD-TBI overlap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Autobiographical Memory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personal memories (pre-injury, recent, positive). Rate specificity and accuracy.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Pre-injury memories intact; peri-injury gap normal; post-injury integrating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Retrograde amnesia extends before injury; severe DAI pattern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Confabulates injury events; fills memory gaps with plausible but inaccurate content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Clock Drawing Test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Draw clock showing 10:10. Score /4.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4/4; organized layout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&lt;2/4; executive-spatial failure; frontal or parietal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3/4; mild planning error; executive vulnerability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Self-Reference Memory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10 adjectives with self-reference frame. Recall after 2-min distractor.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≥6/10 recalled; balanced content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&lt;4/10; poor self-schema; TBI identity disruption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recall but dominated by injury-related self-concepts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Mind Wandering Probe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2-min reading with 4 probes. Note off-task content.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≤1/4 off-task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0/4; over-focused; compensatory rigidity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3-4/4; poor sustained attention; TBI DMN-CEN dyscoordination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Prospective Memory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5-min reminder task. Note if recalled independently.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Independent recall within 5±1 min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Completely forgets; TBI prospective memory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Asks repeatedly before time; compensatory over-monitoring; anxiety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Orientation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Date, year, season, place /6.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6/6 correct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&lt;5/6; post-TBI disorientation; acute confusion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6/6 but slow; processing speed reduction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TBI Relevance: TBI causes DMN HYPO through white matter disconnection — axonal shearing disrupts PCC-mPFC connectivity underlying self-referential processing. Chronic TBI shows DMN failure with poor autobiographical integration, emotional numbing, and identity disruption.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Default Mode Network (DMN)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Central Executive Network (CEN/FPN)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Digit Span Backward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digit recall. Maximum span achieved.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≥5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≤3; TBI working memory failure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4; borderline; processing speed interferes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Trail Making B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connections. Time and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&lt;90 sec; ≤2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&gt;150 sec or multiple errors; frontal white matter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100-150 sec; mild-moderate slowing; post-concussion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Processing Speed — Symbol Copying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Copy 3 symbols under 3 number pairs; complete 10 pairs in 60 sec. Count correct.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≥8/10 in 60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&lt;4/10; severe processing speed impairment; TBI core CEN deficit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5-7/10; mild-moderate speed reduction; post-concussion syndrome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Verbal Fluency FAS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fluency 60 sec per letter.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≥10 words/letter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&lt;6; TBI frontal-executive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6-9 words; mild reduction; processing speed contribution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Stroop Interference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Name ink color. Time and errors.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&lt;45 sec; ≤3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&gt;90 sec; severe interference; frontal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45-75 sec; moderate; post-concussion CEN slowing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Serial 7 Subtraction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100-7 for 5 steps.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5/5 correct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≤2/5; working memory failure;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3-4/5; mild errors; processing speed and attention interaction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Go/No-Go Task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Tap for all except X. 20 letters.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commission; ≤2 omission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commission errors; frontal disinhibition;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2-4 commission errors; borderline inhibitory control; mTBI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TBI Relevance: CEN HYPOACTIVITY is the hallmark of TBI cognitive impairment: frontal axonal damage, working memory failure, and processing speed reduction. Executive dysfunction reflects CEN white matter disconnection more than focal lesion in most mTBI cases.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Central Executive Network (CEN/FPN)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Salience Network (SN)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Post-Concussion Sensory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current headache, photophobia, and phonophobia 0-10 each.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0-2 on all; no sensitization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 on all; complete sensory blunting; severe TBI or dissociation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 on ≥2 measures; post-traumatic sensitization; SN HYPER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Light Sensitivity Test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Observe in normally lit room; ask about discomfort with ceiling lights.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discomfort with normal lighting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sensitivity; sensory blunting; severe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Significant discomfort; light avoidance; post-concussion SN hyperactivation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Interoception — Heartbeat Counting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heartbeats 25 sec without touch.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Accuracy &gt;0.75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Accuracy &lt;0.50; autonomic dysregulation; brainstem/insular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accuracy; hypervigilant to somatic signals; post-TBI health anxiety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Error Monitoring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Sentence with 2 errors. Spontaneous correction.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≥1; calm correction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Misses both; anosognosia; frontal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 distress on errors; perfectionism; post-TBI emotional dysregulation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Sensory Switching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Alternate visual and auditory tasks. Note if switching triggers nausea/pain.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 sec; smooth; no symptoms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poor switching; frontal disconnection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but triggers vestibular symptoms; sensory overload; post-concussion TBI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Sensitivity — Bilateral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Fingernail pressure 3 sec. Rate and compare bilaterally.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3-6; bilateral symmetry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Low or absent; sensory loss; focal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bilateral ≥8; central sensitization; diffuse TBI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Response — Exaggerated Startle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Unexpected tone mid-task. Measure startle magnitude and recovery.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Brief interruption; reorientation &lt;3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orienting; severe TBI blunting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Exaggerated startle; prolonged recovery &gt;15 sec; PTSD-TBI overlap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TBI Relevance: TBI causes SN HYPERACTIVITY: central sensitization, heightened pain and sensory sensitivity (light, sound). Insular involvement contributes to autonomic dysregulation and post-traumatic headache. SN HYPER drives post-concussion syndrome.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Salience Network (SN)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Sensorimotor Network (SMN)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Finger Tapping Rate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Index tapping 10 sec each hand. Count and note rhythm.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≥45 taps; regular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&lt;35 taps; motor slowing; DAI or focal motor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35-45 taps; mild reduction; processing speed contribution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Grip Assessment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Bilateral grip. Compare sides.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Firm symmetric grip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Asymmetric weakness; focal motor pathway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but slow force generation; psychomotor slowing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Fine Motor Sequencing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Thumb-to-finger 10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 sequences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≤2; motor-sequencing failure; cerebellar or frontal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2-3 sequences; mild-moderate fine motor impairment; mTBI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 — Modified Romberg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Tandem stance eyes closed 20 sec. Count sway or steps off.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Stable 20 sec; ≤1 step adjustment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Cannot maintain; falls; vestibular or cerebellar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2-3 adjustments; mild balance impairment; post-concussion vestibular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Gait Pattern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Walk 5 m at normal pace. Observe stride length, arm swing, stability.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Symmetric; normal stride; bilateral arm swing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Hemiparetic gait; step asymmetry; focal motor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Mildly reduced stride; cautious gait; post-concussion vestibular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Alternating Movements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Pronate/supinate 10 sec. Note rhythm.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Regular; ≥14 cycles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Dysrhythmic; cerebellar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Slightly irregular; mild rhythm disruption; cerebellar vulnerability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Writing Sample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Write name/address; draw circles.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Legible; consistent; smooth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Cannot hold pen; severe motor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Slight irregularity; fine motor vulnerability post-TBI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Reaction Time — Simple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Hand lift when pen drops. 3 trials averaged.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&lt;250 ms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≥500 ms; severe processing speed impairment; DAI marker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250-400 ms; mild-moderate slowing; post-concussion processing speed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TBI Relevance: SMN dysfunction in TBI depends on severity: motor slowing, balance deficits, and coordination impairment are common. Vestibular involvement causes gait and balance HYPO. mTBI may show subtle SMN HYPO not detectable on standard exams.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Sensorimotor Network (SMN) Total: _____ / 16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Limbic / Emotional Network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Irritability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'Since your injury, do you get angry more easily?' Rate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0-3; appropriate emotion regulation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emotional blunting; limbic HYPO; severe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≥8; post-traumatic irritability; limbic HYPER; amygdala disinhibition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Face Recognition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 emotions from photos. Score /6.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≥5/6 correct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&lt;4/6; affect agnosia; right hemisphere or amygdala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4-5/6; mild; frontal-limbic disconnection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Memory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10 emotional and 10 neutral words. Free recall after 5-min distractor.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advantage; ≥8 emotional recalled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recall; emotional memory loss; limbic-hippocampal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Negative emotional words preferentially recalled; PTSD-TBI overlap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 Labeling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emotional scenarios. Name response.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Accurate differentiated labels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'Nothing'; alexithymia; limbic blunting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Intense labels; explosive emotional responses; dysregulation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Reward Sensitivity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interest in 5 activities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≥6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≤3; apathy; frontal-limbic TBI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≥7 but explosive short engagement; impulse dysregulation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Fear Response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threatening scenarios. Rate anxiety 0-10.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Anxiety 4-6; proportionate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≤2; emotional blunting; frontal-limbic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≥8; catastrophic; PTSD-TBI overlap; amygdala hyperreactivity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Affective Flexibility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then happy memory. Mood shift and recovery.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Shift ≥3; recovery &lt;3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Flat; no shift; emotional blunting; limbic HYPO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Stuck in negative mood; poor positive affect access; post-TBI depression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TBI Relevance: Limbic HYPERACTIVITY drives post-traumatic emotional dysregulation, irritability, and anxiety. Amygdala hyperreactivity from direct injury or CEN deafferentation causes emotional volatility. Depression and PTSD comorbidity are common limbic-TBI presentations.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Limbic / Emotional Network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Attention Networks (DAN/VAN)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Sustained Attention — Fatigue Probe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backward from 50 for 60 sec. Note rapid fatigue onset.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errors; consistent pace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Stops within 30 sec; severe attentional failure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Completes but dramatically decelerates; attentional fatigue; post-concussion hallmark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 Attention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Circle all A's in 20-item letter list. Time and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≤3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multiple omissions; severe post-TBI attention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Completes; 45-75 sec; processing speed bottleneck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Divided Attention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by 2s while naming objects.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 each task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Abandons one task; TBI attention resource depletion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Performs both with 3-5 errors each; dual-task vulnerability; TBI hallmark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Visual Search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Find star among 20 distractors.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&lt;20 sec; systematic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Fails to find target; disorganized; severe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20-40 sec; systematic but slow; processing speed and attention interaction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Alerting Response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'Ready' before stimulus. Preparatory state.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Appropriate alerting; focused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Blunted; not ready; post-TBI alerting failure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Hyper-alerting; hypervigilant; PTSD-TBI overlap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Spatial Orienting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Arrow cue before target. Orienting benefit and disengagement.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benefit ≥100 ms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orienting; spatial attention failure; parietal TBI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orienting; cannot disengage; frontal perseveration TBI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Inhibition Cancel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Cancel circles on mixed-shape sheet.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≤2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&gt;120 sec; omissions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with false alarms; impulsive; frontal inhibitory failure TBI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Fatigue Index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cancellation 5 min; compare first vs last 2.5 min.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&lt;15%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&gt;50%; rapid attentional exhaustion; TBI hallmark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20-35% drop; mild-moderate fatigue; post-concussion syndrome marker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TBI Relevance: Attention Networks show HYPO across all domains post-TBI: processing speed, sustained attention, and divided attention. White matter integrity loss in fronto-parietal networks causes attentional failure. Attentional fatigue is a core TBI complaint.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Attention Networks (DAN/VAN) Total: _____ / 16</w:t>
      </w:r>
    </w:p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Network Summary Profile</w:t>
      </w:r>
    </w:p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Map network scores to phenotype for FNON-based montage and protocol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Raw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of 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Dysfunction Pattern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Mode Network (DMN)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Central Executive Network (CEN/FPN)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Salience Network (SN)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Sensorimotor Network (SMN)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Limbic / Emotional Network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 Networks (DAN/VAN)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GRAND TOTAL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88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Dominant Network Dysfunction: </w:t>
      </w:r>
      <w:r>
        <w:rPr>
          <w:rFonts w:ascii="Calibri" w:hAnsi="Calibri"/>
          <w:b w:val="0"/>
          <w:i w:val="0"/>
          <w:sz w:val="22"/>
        </w:rPr>
        <w:t>_______________________________   Score: _____ / _____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Secondary Network: </w:t>
      </w:r>
      <w:r>
        <w:rPr>
          <w:rFonts w:ascii="Calibri" w:hAnsi="Calibri"/>
          <w:b w:val="0"/>
          <w:i w:val="0"/>
          <w:sz w:val="22"/>
        </w:rPr>
        <w:t>_______________________________   Tertiary: _______________________________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Phenotype Assignment</w:t>
      </w:r>
    </w:p>
    <w:p>
      <w:r>
        <w:rPr>
          <w:rFonts w:ascii="Calibri" w:hAnsi="Calibri"/>
          <w:b w:val="0"/>
          <w:i w:val="0"/>
          <w:sz w:val="22"/>
        </w:rPr>
        <w:t>TBI phenotypes: (1) COGNITIVE-FATIGUE — CEN HYPO + Attention HYPO (most common mTBI); (2) AFFECTIVE — Limbic HYPER (emotional TBI); (3) SENSORY-PAIN — SN HYPER (post-concussion sensitization); (4) MOTOR — SMN HYPO (moderate-severe TBI); (5) PTSD-TBI — Limbic HYPER + SN HYPER. Severity stage guides FNON selection.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Assigned Phenotype: </w:t>
      </w:r>
      <w:r>
        <w:rPr>
          <w:rFonts w:ascii="Calibri" w:hAnsi="Calibri"/>
          <w:b w:val="0"/>
          <w:i w:val="0"/>
          <w:sz w:val="22"/>
        </w:rPr>
        <w:t>________________________________________</w:t>
      </w:r>
    </w:p>
    <w:p/>
    <w:p>
      <w:r>
        <w:rPr>
          <w:rFonts w:ascii="Calibri" w:hAnsi="Calibri"/>
          <w:b/>
          <w:i w:val="0"/>
          <w:color w:val="7B2D8E"/>
          <w:sz w:val="22"/>
        </w:rPr>
        <w:t xml:space="preserve">FNON Strategy: </w:t>
      </w:r>
      <w:r>
        <w:rPr>
          <w:rFonts w:ascii="Calibri" w:hAnsi="Calibri"/>
          <w:b w:val="0"/>
          <w:i w:val="0"/>
          <w:sz w:val="22"/>
        </w:rPr>
        <w:t>Primary: Facilitate CEN (left DLPFC anodal) for executive dysfunction and processing speed. Address SN hyperactivation (cathodal right prefrontal). For PTSD-TBI overlap: target limbic regulation. Avoid stimulation during acute phase (&lt;3 months without clearance).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Medication &amp; Clinical Notes</w:t>
      </w:r>
    </w:p>
    <w:p>
      <w:pPr>
        <w:shd w:val="clear" w:color="auto" w:fill="CC0000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⚠ CRITICAL: </w:t>
      </w:r>
      <w:r>
        <w:rPr>
          <w:rFonts w:ascii="Calibri" w:hAnsi="Calibri"/>
          <w:b w:val="0"/>
          <w:i w:val="0"/>
          <w:color w:val="FFFFFF"/>
          <w:sz w:val="20"/>
        </w:rPr>
        <w:t>CRITICAL: Record medication state at each assessment. Results may differ significantly ON vs OFF medication.</w:t>
      </w:r>
    </w:p>
    <w:p>
      <w:r>
        <w:rPr>
          <w:rFonts w:ascii="Calibri" w:hAnsi="Calibri"/>
          <w:b/>
          <w:i w:val="0"/>
          <w:color w:val="1B3A5C"/>
          <w:sz w:val="22"/>
        </w:rPr>
        <w:t xml:space="preserve">Medication State at Assessment: </w:t>
      </w:r>
      <w:r>
        <w:rPr>
          <w:rFonts w:ascii="Calibri" w:hAnsi="Calibri"/>
          <w:b w:val="0"/>
          <w:i w:val="0"/>
          <w:sz w:val="22"/>
        </w:rPr>
        <w:t>□ ON Medication    □ OFF Medication    □ Medication Wash-out    □ Unmedicated</w:t>
      </w:r>
    </w:p>
    <w:p/>
    <w:p>
      <w:r>
        <w:rPr>
          <w:rFonts w:ascii="Calibri" w:hAnsi="Calibri"/>
          <w:b/>
          <w:i w:val="0"/>
          <w:color w:val="1B3A5C"/>
          <w:sz w:val="20"/>
        </w:rPr>
        <w:t xml:space="preserve">Medication Name/Dose/Timing: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Time Since Last Dose: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Clinical Observations: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Network Interpretation Notes: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Next Assessment Date: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