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32"/>
        </w:rPr>
        <w:t>SOZO BRAIN CENTER — PARTNERS TIER</w:t>
      </w:r>
    </w:p>
    <w:p>
      <w:pPr>
        <w:jc w:val="center"/>
      </w:pPr>
      <w:r>
        <w:rPr>
          <w:b/>
          <w:color w:val="2E75B6"/>
          <w:sz w:val="28"/>
        </w:rPr>
        <w:t>Clinical Examination Checklist</w:t>
      </w:r>
    </w:p>
    <w:p>
      <w:pPr>
        <w:jc w:val="center"/>
      </w:pPr>
      <w:r>
        <w:rPr>
          <w:color w:val="1B3A5C"/>
          <w:sz w:val="22"/>
        </w:rPr>
        <w:t>Stage 4 — Patient Journey | FNON Network-Based Assessment</w:t>
      </w:r>
    </w:p>
    <w:p>
      <w:pPr>
        <w:jc w:val="center"/>
      </w:pPr>
      <w:r>
        <w:rPr>
          <w:b/>
          <w:color w:val="7B2D8E"/>
          <w:sz w:val="22"/>
        </w:rPr>
        <w:t>🟣 FNON + Evidence-Based Assessment — Includes Brain Network Analysis</w:t>
      </w:r>
    </w:p>
    <w:p>
      <w:pPr>
        <w:jc w:val="center"/>
      </w:pPr>
      <w:r>
        <w:rPr>
          <w:b/>
          <w:color w:val="1B3A5C"/>
          <w:sz w:val="26"/>
        </w:rPr>
        <w:t>TRAUMATIC BRAIN INJURY (TBI)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Patient Name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DOB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Examining Doctor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/>
          <w:sz w:val="20"/>
        </w:rPr>
        <w:t xml:space="preserve">Scoring: </w:t>
      </w:r>
      <w:r>
        <w:rPr>
          <w:sz w:val="20"/>
        </w:rPr>
        <w:t>HYPO (1)  |  NORMAL (0)  |  HYPER (2)</w:t>
      </w:r>
    </w:p>
    <w:p/>
    <w:p>
      <w:pPr>
        <w:pStyle w:val="Heading1"/>
        <w:jc w:val="left"/>
      </w:pPr>
      <w:r>
        <w:t>Section A: 6-Network Bedside Assessment</w:t>
      </w:r>
    </w:p>
    <w:p>
      <w:r>
        <w:rPr>
          <w:b/>
          <w:color w:val="7B2D8E"/>
          <w:sz w:val="20"/>
        </w:rPr>
        <w:t>Network assessment maps patient symptoms to functional brain networks for FNON-based montage selection.</w:t>
      </w:r>
    </w:p>
    <w:p>
      <w:pPr>
        <w:pStyle w:val="Heading2"/>
        <w:jc w:val="left"/>
      </w:pPr>
      <w:r>
        <w:t>1. Default Mode Network (DMN) — Max Score: 14</w:t>
      </w:r>
    </w:p>
    <w:p>
      <w:r>
        <w:rPr>
          <w:b/>
          <w:color w:val="000000"/>
          <w:sz w:val="20"/>
        </w:rPr>
        <w:t>Core: Self-referential processing, autobiographical memory | Hubs: mPFC, PCC/Precuneus, Angular gyrus, Hippocampus | EEG sites: Pz, P3/P4, Cz</w:t>
      </w:r>
    </w:p>
    <w:p>
      <w:r>
        <w:rPr>
          <w:b/>
          <w:color w:val="7B2D8E"/>
          <w:sz w:val="20"/>
        </w:rPr>
        <w:t xml:space="preserve">TBI Relevance: </w:t>
      </w:r>
      <w:r>
        <w:rPr>
          <w:sz w:val="20"/>
        </w:rPr>
        <w:t>Disrupted by diffuse axonal injury (DAI) affecting PCC-mPFC white matter tracts. Identity disruption, self-monitoring failure, and poor self-awareness of deficits (anosognosia) reflect DMN connectivity breakdown.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Self-awareness of cognitive deficits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1=Mild anosognosia, 2=Severe anosognosia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Autobiographical memory continuity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1=PTA-related gaps, 2=Dense retrograde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Mind-wandering / disorientation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1=Occasional, 2=Persistent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Identity coherence post-injury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0=Intact, 1=Struggling, 2=Fragmented/denied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Self-monitoring during tasks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1=Reduced, 2=Absent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Future planning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1=Impaired, 2=Absent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Cognitive fluctuations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0=Consistent, 1=Slowed, 2=Fluctuating badly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DMN Total: _____ / 14</w:t>
      </w:r>
    </w:p>
    <w:p/>
    <w:p>
      <w:pPr>
        <w:pStyle w:val="Heading2"/>
        <w:jc w:val="left"/>
      </w:pPr>
      <w:r>
        <w:t>2. Central Executive Network (CEN/FPN) — Max Score: 14</w:t>
      </w:r>
    </w:p>
    <w:p>
      <w:r>
        <w:rPr>
          <w:b/>
          <w:color w:val="000000"/>
          <w:sz w:val="20"/>
        </w:rPr>
        <w:t>Core: Working memory, planning, cognitive control | Hubs: DLPFC, PPC/IPS | EEG sites: F3/F4, P3/P4, Fz</w:t>
      </w:r>
    </w:p>
    <w:p>
      <w:r>
        <w:rPr>
          <w:b/>
          <w:color w:val="7B2D8E"/>
          <w:sz w:val="20"/>
        </w:rPr>
        <w:t xml:space="preserve">TBI Relevance: </w:t>
      </w:r>
      <w:r>
        <w:rPr>
          <w:sz w:val="20"/>
        </w:rPr>
        <w:t>HYPO. DLPFC is particularly vulnerable to both focal and blast injury. Executive dysfunction, working memory impairment, and impaired problem-solving reflect disrupted CEN after TBI of any severity.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Serial 7s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1=Slow/errors,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Digit span (forward &amp; backward)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Trail Making A to B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Verbal fluency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0=18+, 1=Reduced &lt;12,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Planning (clock drawing)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Set shifting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1=Perseverative,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Dual-task (walk + count)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CEN Total: _____ / 14</w:t>
      </w:r>
    </w:p>
    <w:p/>
    <w:p>
      <w:pPr>
        <w:pStyle w:val="Heading2"/>
        <w:jc w:val="left"/>
      </w:pPr>
      <w:r>
        <w:t>3. Salience Network (SN) — Max Score: 14</w:t>
      </w:r>
    </w:p>
    <w:p>
      <w:r>
        <w:rPr>
          <w:b/>
          <w:color w:val="000000"/>
          <w:sz w:val="20"/>
        </w:rPr>
        <w:t>Core: Threat detection, interoception, DMN↔CEN switching | Hubs: Anterior Insula, dACC | EEG sites: Fz, FCz, F3/F4</w:t>
      </w:r>
    </w:p>
    <w:p>
      <w:r>
        <w:rPr>
          <w:b/>
          <w:color w:val="7B2D8E"/>
          <w:sz w:val="20"/>
        </w:rPr>
        <w:t xml:space="preserve">TBI Relevance: </w:t>
      </w:r>
      <w:r>
        <w:rPr>
          <w:sz w:val="20"/>
        </w:rPr>
        <w:t>HYPER/dysregulated. Emotional lability, stimulus sensitivity, and impulsivity reflect SN hyperexcitability post-TBI. Post-traumatic stress responses may develop as a SN sensitisation phenomenon.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Startle response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1=Absent, 2=Exaggerated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Pain / headache sensitivity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1=Hypo, 2=Hyper/photophobia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Interoception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1=Reduced, 2=Excessive/distress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Emotional reactivity / lability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1=Blunted, 2=Explosive/labile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Task switching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1=Slow, 2=Impulsive switching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Error monitoring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2=Absent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Autonomic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1=Hypo, 2=Hyper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SN Total: _____ / 14</w:t>
      </w:r>
    </w:p>
    <w:p/>
    <w:p>
      <w:pPr>
        <w:pStyle w:val="Heading2"/>
        <w:jc w:val="left"/>
      </w:pPr>
      <w:r>
        <w:t>4. Sensorimotor Network (SMN) — Max Score: 16</w:t>
      </w:r>
    </w:p>
    <w:p>
      <w:r>
        <w:rPr>
          <w:b/>
          <w:color w:val="000000"/>
          <w:sz w:val="20"/>
        </w:rPr>
        <w:t>Core: Motor output, somatosensation, proprioception | Hubs: M1, S1, SMA, Premotor | EEG sites: C3/C4, Cz</w:t>
      </w:r>
    </w:p>
    <w:p>
      <w:r>
        <w:rPr>
          <w:b/>
          <w:color w:val="7B2D8E"/>
          <w:sz w:val="20"/>
        </w:rPr>
        <w:t xml:space="preserve">TBI Relevance: </w:t>
      </w:r>
      <w:r>
        <w:rPr>
          <w:sz w:val="20"/>
        </w:rPr>
        <w:t>Variable by lesion. Vestibular/balance disruption, oculomotor abnormalities, fine motor slowing, and post-concussive motor speed reduction reflect SMN and cerebellar involvement post-TBI.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Balance (Romberg/tandem)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1=Mild impairment, 2=Cannot perform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Coordination (finger-to-nose)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1=Mild dysmetria, 2=Severe ataxia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Gait stability (tandem walk)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1=Unsteady, 2=Cannot perform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Fine motor speed (tapping)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1=Slow, 2=Severely slowed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Oculomotor exam (smooth pursuit)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1=Saccadic pursuit, 2=Cannot track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Grip strength (dynamometer)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2=Severely reduced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Dual-task motor (walk + cognitive)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2=Cannot dual-task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Proprioception (position sense)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1=Impaired, 2=Absent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SMN Total: _____ / 16</w:t>
      </w:r>
    </w:p>
    <w:p/>
    <w:p>
      <w:pPr>
        <w:pStyle w:val="Heading2"/>
        <w:jc w:val="left"/>
      </w:pPr>
      <w:r>
        <w:t>5. Limbic / Emotional Network — Max Score: 14</w:t>
      </w:r>
    </w:p>
    <w:p>
      <w:r>
        <w:rPr>
          <w:b/>
          <w:color w:val="000000"/>
          <w:sz w:val="20"/>
        </w:rPr>
        <w:t>Core: Affect generation/regulation, reward, stress | Hubs: OFC/mPFC, ACC, Amygdala | EEG sites: Fp1/Fp2, AF3/AF4, Fz</w:t>
      </w:r>
    </w:p>
    <w:p>
      <w:r>
        <w:rPr>
          <w:b/>
          <w:color w:val="7B2D8E"/>
          <w:sz w:val="20"/>
        </w:rPr>
        <w:t xml:space="preserve">TBI Relevance: </w:t>
      </w:r>
      <w:r>
        <w:rPr>
          <w:sz w:val="20"/>
        </w:rPr>
        <w:t>Dysregulated. Irritability, aggression, depression, and apathy are among the most common sequelae of TBI. Amygdala hyperreactivity, hippocampal vulnerability, and OFC disruption drive behavioural changes.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Affect (irritability/lability)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1=Irritable, 2=Explosive/aggressive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Mood screening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1=Low/depressed, 2=Severe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Anxiety / PTSD symptoms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1=Mild, 2=Severe/PTSD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Motivation / apathy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2=Absent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Reward sensitivity / impulsivity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1=Reduced, 2=Risk-seeking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Frustration tolerance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1=Low, 2=Explosive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Emotional regulation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1=Poor, 2=Severely dysregulated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Limbic Total: _____ / 14</w:t>
      </w:r>
    </w:p>
    <w:p/>
    <w:p>
      <w:pPr>
        <w:pStyle w:val="Heading2"/>
        <w:jc w:val="left"/>
      </w:pPr>
      <w:r>
        <w:t>6. Attention Networks (DAN / VAN) — Max Score: 16</w:t>
      </w:r>
    </w:p>
    <w:p>
      <w:r>
        <w:rPr>
          <w:b/>
          <w:color w:val="000000"/>
          <w:sz w:val="20"/>
        </w:rPr>
        <w:t>Core: Sustained/selective attention, orienting | Hubs: DAN: IPS/FEF; VAN: rTPJ/rIFG | EEG sites: P3/P4, PO7/PO8, F7/F8</w:t>
      </w:r>
    </w:p>
    <w:p>
      <w:r>
        <w:rPr>
          <w:b/>
          <w:color w:val="7B2D8E"/>
          <w:sz w:val="20"/>
        </w:rPr>
        <w:t xml:space="preserve">TBI Relevance: </w:t>
      </w:r>
      <w:r>
        <w:rPr>
          <w:sz w:val="20"/>
        </w:rPr>
        <w:t>HYPO. Post-concussive attentional deficits are the most common and persistent cognitive symptom. DAN disruption causes poor sustained attention; processing speed reduction is a hallmark across severities.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Sustained attention (continuous task)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1=Lapses,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Processing speed (Stroop)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1=Slow, 2=Severely slowed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Visual search / scanning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1=Slow, 2=Cannot complete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Auditory attention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Orienting response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1=Delayed, 2=Absent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Reorienting after distraction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1=Slow, 2=Cannot refocus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Divided attention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Alertness (fatigue-related fluctuation)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1=Drowsy, 2=Severe fatigue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Attention Total: _____ / 16</w:t>
      </w:r>
    </w:p>
    <w:p/>
    <w:p>
      <w:pPr>
        <w:pStyle w:val="Heading1"/>
        <w:jc w:val="left"/>
      </w:pPr>
      <w:r>
        <w:t>Section B: Network Imbalance Profile</w:t>
      </w:r>
    </w:p>
    <w:p>
      <w:r>
        <w:rPr>
          <w:b/>
          <w:color w:val="7B2D8E"/>
          <w:sz w:val="20"/>
        </w:rPr>
        <w:t>Map network scores to identify dominant dysfunction pattern for FNON montage selection.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Network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Max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TBI-Specific NIBS Target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1. DMN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Cathodal mPFC tDCS for anosognosia / self-monitoring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2. CEN / FPN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Anodal L-DLPFC tDCS / TPS FT3 for executive function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3. Salience (SN)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taVNS / CES for emotional lability and SN normalisation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4. SMN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Anodal cerebellar tDCS for vestibular/coordination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5. Limbic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taVNS / Bifrontal tDCS / TPS FT4 for behavioural regulation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6. Attention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Anodal parietal tDCS / TPS FT5 for processing speed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0-17 Normal | 18-35 Mild | 36-53 Mod | 54+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C: Neurological Examination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Examination Domain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 / Notes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Pyramidal tract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Extrapyramidal signs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Frontal release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Cerebellar examination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Cranial nerves / visual-oculomotor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Vestibular-oculomotor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Sensory examination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Deep tendon reflexes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D: Phenotype Identification &amp; FNON Strategy</w:t>
      </w:r>
    </w:p>
    <w:p>
      <w:r>
        <w:rPr>
          <w:b/>
          <w:color w:val="7B2D8E"/>
          <w:sz w:val="20"/>
        </w:rPr>
        <w:t>Map examination findings to FNON phenotype and network hypothesis for montage selection.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Identified Phenotype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Mild/Concussion  ☐ Moderate  ☐ Severe  ☐ Executive dominant  ☐ Post-traumatic headache  ☐ Behavioural  ☐ DOC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Network Dysfunction Hypothesis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Primary Dysfunctional Network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Secondary Dysfunctional Network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EEG Performed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Yes ☐ No ☐ Not available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EEG Findings Summary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Preliminary FNON NIBS Strategy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Proposed tDCS Protocol ID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Proposed TPS Protocol ID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Examining Doctor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