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TBI Responder Tracking &amp; Classification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1B3A5C"/>
          <w:sz w:val="22"/>
          <w:szCs w:val="22"/>
        </w:rPr>
        <w:t>SOZO Response Assessment, Methylphenidate/Amantadine-tDCS Documentation &amp; FNON Non-Responder Pathway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Cognitive  □ Affective/Behavioural  □ Post-Concussive  □ Executive  □ Mixed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Symptom Severity /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Treating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Session 8–10  □ End of Block  □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1__SOZO_Operational_Response_Definition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1. SOZO Operational Response Definition</w:t>
      </w:r>
      <w:bookmarkEnd w:id="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 response at end of block (typically 10–20 sessions). Patient must meet criteria in at least one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000"/>
        <w:gridCol w:w="2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Response Criteria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Met?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Improvement on RBANS, MoCA, or processing speed 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Executive 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Improvement in Trail Making B, verbal fluency, or planning 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Mood/Behaviour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Reduction in aggression, irritability, or depression (PHQ-9, NRS-irritability)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Function/Independence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daily independence or RTW progress by clinician/self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Bdr>
          <w:top w:val="single" w:color="2E75B6" w:sz="2"/>
          <w:left w:val="single" w:color="2E75B6" w:sz="2"/>
          <w:bottom w:val="single" w:color="2E75B6" w:sz="2"/>
          <w:right w:val="single" w:color="2E75B6" w:sz="2"/>
        </w:pBdr>
        <w:shd w:fill="D6E4F0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>This avoids "false non-responder" labelling due to post-exertional symptom worsening and cognitive fatigue on testing day.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2__Likely_Responder_Profiles" w:id="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2. Likely Responder Profiles</w:t>
      </w:r>
      <w:bookmarkEnd w:id="4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FNON-based responder profiling maps treatment targets to network hypotheses for optimised protocol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Best-Fit Patient Profile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TBI (DLPFC)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PFC-targeted injury; attention, WM, processing speed impaired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tDCS + cognitive rehabilitation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 (pilot RCT)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Executive (DLPFC bilateral)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Frontal lobe injury; planning, inhibition, cognitive flexibility impaired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Bilateral DLPFC tDCS + executive training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Post-Concussive (CES+DLPFC)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Mild TBI; headache, cognitive fog, sleep disruption; diffuse axonal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+ DLPFC tDCS + paced cognitive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Affective/Behavioural (DLPFC+taVNS)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Irritability, aggression, emotional lability; orbito-frontal involvement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tDCS + taVNS + emotion regulation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Fatigue-dominant (CES-led)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Chronic fatigue, cognitive exhaustion; brainstem-arousal disruption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primary + DLPFC adjunct + paced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Motor-cognitive (M1+DLPFC)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Combined motor-cognitive impairment; central motor + PFC injury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M1 + DLPFC tDCS sequence + task-specific rehab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3__Predictors_of_Better_Response" w:id="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3. Predictors of Better Response</w:t>
      </w:r>
      <w:bookmarkEnd w:id="6"/>
    </w:p>
    <w:p>
      <w:pPr>
        <w:pStyle w:val="Heading2"/>
        <w:spacing w:after="160" w:before="280"/>
      </w:pPr>
      <w:bookmarkStart w:name="3A__Clinical_Predictor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3A. Clinical Predictors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Predictor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Present?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Mild-moderate TBI (not severe with minimal reserve)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Sufficient cortical reserve for plasticity-based gains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Methylphenidate/Amantadine at stable dose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Dopaminergic/NMDA modulation supports tDCS plasticity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Capacity to engage without triggering symptom exacerbation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Post-exertional worsening negates plasticity induction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hypothesis confirmed by 6-Network Assessment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PFC/CEN disruption mapping guides target selection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B__Protocol_Predictors__Modifiable_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3B. Protocol Predictors (Modifiable)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Target 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for cognitive/executive; CES for fatigue/post-concussive; M1 for motor comorbidity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Exertion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 heavy physical or cognitive exertion within 4 hours pre-session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intensity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Start at lower intensity; titrate up; monitor headache/fatigue throughout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PFC-CEN hypoactivation + default mode disruption guides montage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C__Measurement_Predictors" w:id="1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3C. Measurement Predictors</w:t>
      </w:r>
      <w:bookmarkEnd w:id="12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WARNING: If baseline is assessed during a low-symptom day and follow-up occurs after physical or cognitive exertion (or vice versa), post-exertional symptom worsening can create a false non-responder. Always document exertion level, headache state, and cognitive fatigue at each assessment.</w:t>
      </w:r>
    </w:p>
    <w:p>
      <w:r>
        <w:br w:type="page"/>
      </w:r>
    </w:p>
    <w:p>
      <w:pPr>
        <w:pStyle w:val="Heading1"/>
        <w:spacing w:after="200" w:before="360"/>
      </w:pPr>
      <w:bookmarkStart w:name="4__SOZO_Response_Classification" w:id="1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4. SOZO Response Classification</w:t>
      </w:r>
      <w:bookmarkEnd w:id="1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Use at Session 10 (or 8–10) and again at end of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Meaningful improvement on primary cognitive/functional measure + headache/fatigue reduction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Continue protocol; plan 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Partial 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Improvement in one domain but limited transfer to function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Adjust task intensity; consider CES addition; review exertion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Non-Responder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 improvement or symptom worsening after adequate trial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 FNON Non-Responder Pathway (Section 6)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PATIENT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□ Responder  □ Partial Responder  □ Non-Responder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5__Likely_Non_Responder_Profiles" w:id="1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5. Likely Non-Responder Profiles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Limited Response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Alternative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TBI with minimal cognitive reserve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degeneration limits cortical plasticity capacity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Supportive rehabilitation; CES for symptom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Chronic post-concussive syndrome with PTSD comorbidity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Overlapping circuits; trauma response modulates PFC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Address PTSD first; integrated trauma-informed 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non-compliance or unstable psychiatric comorbidity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Confounded neural state; unpredictable dopaminergic environment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Stabilise medications; psychiatric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Active substance use (alcohol/cannabis)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Cortical neuromodulation confounded; plasticity impaired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Address substance use; re-baseline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6__SOZO_Non_Responder_Pathway__FNON_Level_5_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6. SOZO Non-Responder Pathway (FNON Level 5)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If no meaningful improvement after 8–10 sessions, follow FNON Level 5 adjustment pathway: Reassess phenotype → Revise network hypothesis → Modify montage/modality.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Confirm Fundamentals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Correct montage, impedance, session compliance, dose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Re-Phenotype (FNON Level 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Is it truly motor-dominant or executive-dominant? Recheck 6-Network scores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Revise Network Hypothesis (FNON Level 2)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Map revised phenotype to new network targets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Change Target (FNON Level 3)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Switch montage AND/OR switch modality based on revised hypothesis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 Medication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Review ON/OFF state variability; standardise neuro-stimulant/NMDA modulator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Modality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TPS if tDCS alone; add taVNS if limbic involvement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Consider Discontinuation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If no response after 2 full blocks, document and discuss with patient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DO NOT escalate intensity beyond safety limits. Always follow SOZO FNON Protocol safety parameters.</w:t>
      </w:r>
    </w:p>
    <w:p>
      <w:r>
        <w:br w:type="page"/>
      </w:r>
    </w:p>
    <w:p>
      <w:pPr>
        <w:pStyle w:val="Heading1"/>
        <w:spacing w:after="200" w:before="360"/>
      </w:pPr>
      <w:bookmarkStart w:name="7__Levodopa_tDCS_Scheduling___Documentation" w:id="1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>7. Methylphenidate/Amantadine-tDCS Scheduling &amp; Documentation</w:t>
      </w:r>
      <w:bookmarkEnd w:id="20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tDCS effects are state-dependent. Methylphenidate enhances dopaminergic/noradrenergic PFC function; amantadine modulates NMDA receptors relevant to post-TBI plasticity.</w:t>
      </w:r>
    </w:p>
    <w:p>
      <w:pPr>
        <w:pStyle w:val="Heading2"/>
        <w:spacing w:after="160" w:before="280"/>
      </w:pPr>
      <w:bookmarkStart w:name="7A__ON_State_vs_OFF_State_Comparison" w:id="2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7A. Neuro-Stimulant ON vs Pre-Dose State Comparison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Stimulant/Amantadine ON (Default SOZO)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Pre-Dose / Trough State (Avoid)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45–90 min after methylphenidate or morning amantadine dose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before dose or at medication trough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Optimal PFC function; better attention and task engagement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fog; poor attention; symptom exacerbation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Plasticity Substrate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Dopaminergic/NMDA support for PFC LTP-like mechanisms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Reduced neuromodulatory support; suboptimal plasticity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Comparison Validity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Stable within-block if timing is consistent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High variability; cannot attribute change to tDCS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Stimulant + tDCS synergy best at stable medicated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Avoid; document if medication timing varies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B__SOZO_Scheduling_Rules" w:id="2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7B. SOZO Scheduling Rules</w:t>
      </w:r>
      <w:bookmarkEnd w:id="24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SOZO Standard Rule: Choose ONE medication timing window for a block and keep it CONSISTENT. Post-exertional symptom fluctuation and inconsistent medication timing are the most common sources of false classification in TBI.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Methylphenidate/Amantadine Name &amp;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Dose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Timing Post-Dose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minutes after dose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Pre-Session Exertion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None  □ Light  □ Moderate  □ Heavy — Type: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Headache Level at Session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NRS: ___/10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Chosen State for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Medicated (default)  □ Off-medication (document rationale)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Keep consistent: ___:___ AM/PM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C__Levodopa___tDCS_Pairing_by_PD_Phenotype" w:id="2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7C. Methylphenidate/Amantadine + tDCS Pairing by TBI Phenotype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tDCS Config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Concurrent Task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Outcome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TBI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2mA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Paced attention/WM tasks during tDCS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RBANS, MoCA, TMT-A/B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Executive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Bilateral DLPFC tDCS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Planning/inhibition tasks (Stroop, BADS)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TMT-B, WCST, BRIEF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Post-Concussive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+ DLPFC adjunct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Paced breathing + light cognitive task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RPQ, ISI, PHQ-9, MoCA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Affective/Behavioural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+ taVNS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Emotion regulation tasks + CBT elements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NRS-irritability, PHQ-9, PCL-5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D__Levodopa_tDCS_Documentation_Checklist" w:id="2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7D. TBI Medication-tDCS Documentation Checklist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Documentation 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N/A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Methylphenidate/Amantadine name, dose, and schedule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timing relative to dose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Pre-session exertion level and headache state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Baseline assessment medication state and symptom level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Follow-up in same medication timing window and exertion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changes during block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Post-exertional symptom protocol followed (no heavy exertion within 4h)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 consistent across 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Outcomes interpreted with exertion and headache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8__SOZO_Responder_Signature_Data_Collection" w:id="2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8. SOZO Responder Signature Data Collection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/ Detail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Recorded?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Phenotype 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H&amp;Y stage + disease 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Stage: ___ Duration: ___ years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Montage + protocol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Network hypothesis (FNON Level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Concurrent task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Number of sessions 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Neuro-stimulant/nmda modulator timing 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Baseline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Follow-up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Response classification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Responder □ Partial □ Non-Responder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Adverse 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Regulator_Safe_Language_Guide" w:id="3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Regulator-Safe Language Guide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Appropriate to State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AVOID Stating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an adjunctive neurorehabilitation tool alongside TBI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repairs structural brain damage from TBI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gains may be enhanced when fatigue and exertion are managed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eliminates post-concussive symptoms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is emerging; response varies by TBI severity and phenotype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equivalent to neuropsychological rehabilitation alone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 &amp; Rationale: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PD Responder Tracking &amp; Classification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2026-03-13T14:16:32.270Z</dcterms:created>
  <dcterms:modified xsi:type="dcterms:W3CDTF">2026-03-13T14:16:32.270Z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