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PARKINSON'S DISEASE</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PARTNERS TIER: </w:t>
      </w:r>
      <w:r w:rsidRPr="00D10F0C">
        <w:rPr>
          <w:rFonts w:ascii="Times New Roman" w:hAnsi="Times New Roman" w:cs="Times New Roman"/>
          <w:color w:val="000000"/>
          <w:sz w:val="24"/>
          <w:szCs w:val="24"/>
        </w:rPr>
        <w:t>This document contains the complete FNON framework including network hypotheses, 6-Network Bedside Assessment, FNON classification system, and all proprietary clinical decision pathways.</w:t>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 xml:space="preserve">This handbook provides a complete step-by-step guide to the SOZO clinical pathway for Parkinson's Disease (PD) using Functional Network-Oriented Neuromodulation (FNON). It is designed for daily clinical use by the treating Doctor and Clinical Assistants at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w:t>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PD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 xml:space="preserve">Functional Network-Oriented Neuromodulation (FNON) is SOZO's proprietary clinical framework. Unlike conventional approaches that target isolated brain regions, FNON targets functional brain </w:t>
      </w:r>
      <w:proofErr w:type="gramStart"/>
      <w:r w:rsidRPr="00D10F0C">
        <w:rPr>
          <w:rFonts w:ascii="Times New Roman" w:hAnsi="Times New Roman" w:cs="Times New Roman"/>
          <w:color w:val="000000"/>
          <w:sz w:val="24"/>
          <w:szCs w:val="24"/>
        </w:rPr>
        <w:t>networks  the</w:t>
      </w:r>
      <w:proofErr w:type="gramEnd"/>
      <w:r w:rsidRPr="00D10F0C">
        <w:rPr>
          <w:rFonts w:ascii="Times New Roman" w:hAnsi="Times New Roman" w:cs="Times New Roman"/>
          <w:color w:val="000000"/>
          <w:sz w:val="24"/>
          <w:szCs w:val="24"/>
        </w:rPr>
        <w:t xml:space="preserve"> interconnected circuits that underlie PD symptoms.</w:t>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PD Status</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Newronika</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HDCkit</w:t>
            </w:r>
            <w:proofErr w:type="spellEnd"/>
            <w:r w:rsidRPr="00D10F0C">
              <w:rPr>
                <w:rFonts w:ascii="Times New Roman" w:hAnsi="Times New Roman" w:cs="Times New Roman"/>
                <w:sz w:val="24"/>
                <w:szCs w:val="24"/>
              </w:rPr>
              <w:t xml:space="preserve"> / </w:t>
            </w:r>
            <w:proofErr w:type="spellStart"/>
            <w:r w:rsidRPr="00D10F0C">
              <w:rPr>
                <w:rFonts w:ascii="Times New Roman" w:hAnsi="Times New Roman" w:cs="Times New Roman"/>
                <w:sz w:val="24"/>
                <w:szCs w:val="24"/>
              </w:rPr>
              <w:t>PlatoScience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Level B evidence</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INVESTIGATIONAL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CE-marked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Emerging adjunctive</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FDA-cleared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Supportive adjunct</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Off-Label Disclosure: TPS (NEUROLITH®) use in Parkinson's disease is INVESTIGATIONAL and OFF-LABEL. CE marking applies to Alzheimer's disease only. Mandatory off-label disclosure and Doctor sign-off are required before TPS treatment for PD.</w:t>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PD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Parkinson's disease.</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PD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MANDATORY: No diagnostic or therapeutic procedures may be performed prior to informed consent. TPS for PD requires specific, documented off-label disclosure with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sign-off.</w:t>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PD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Established NIBS; Level B evidence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Emerging adjunctive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Supportive adjunct ONLY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PD diagnosis, diagnosing physician, initial symptoms, Hoehn &amp; Yahr stage,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levodopa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Motor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Tremor severity</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Stiffness / rigidity</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Slowness of movement (bradykinesia)</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Walking difficulty / freezing of gait</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Balance problems</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Involuntary movements (dyskinesias)</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Fine motor tasks (writing, buttons, utensils)</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Speech clarity</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Non-Motor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Depression / low mood</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Anxiety</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Apathy / motivation</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Fatigue (physical and mental)</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Pain severity</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quality</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Memory / concentration</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Overall quality of life</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Bradykinetic/rigid, Tremor-dominant, FOG/Gait, Executive dysfunction, Depression/Apathy, Pain, Fatigue, or Mixed</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PD: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Bradykinetic / Rigid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Motor network hypofunction, CEN compensation failure, SN dysregulation</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Tremor-Dominant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Cerebellar–thalamic loop instability, motor network oscillation abnormalities</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Executive Dysfunction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CEN fragmentation, impaired SN switching, DMN intrusion during task</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Depression / Apathy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CEN hypofunction, limbic–SN </w:t>
            </w:r>
            <w:proofErr w:type="spellStart"/>
            <w:r w:rsidRPr="00D10F0C">
              <w:rPr>
                <w:rFonts w:ascii="Times New Roman" w:hAnsi="Times New Roman" w:cs="Times New Roman"/>
                <w:sz w:val="24"/>
                <w:szCs w:val="24"/>
              </w:rPr>
              <w:t>overcoupling</w:t>
            </w:r>
            <w:proofErr w:type="spellEnd"/>
            <w:r w:rsidRPr="00D10F0C">
              <w:rPr>
                <w:rFonts w:ascii="Times New Roman" w:hAnsi="Times New Roman" w:cs="Times New Roman"/>
                <w:sz w:val="24"/>
                <w:szCs w:val="24"/>
              </w:rPr>
              <w:t>, reduced salience processing</w:t>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Freezing of Gait (FOG)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SMA–motor disconnection, impaired SN–CEN switching under dual-task load</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Cognitive Impairment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Global network inefficiency, DMN–CEN decoupling, attention network disruption</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Pain Phenotype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Sensorimotor-salience coupling, reduced descending inhibition</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lastRenderedPageBreak/>
              <w:t>Mixed Phenotype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Multi-network dysfunction; prioritise the most disabling symptom cluster</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(PD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Record medication timing (last levodopa dose, ON/OFF state)</w:t>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(ON/OFF, timing of last dose)</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DLPFC (F1/C3)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Cognition / Mood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Computerised cognitive training (n-back, Stroop, task-switching)</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M1 (F2/C1)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Motor / Pain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Fine motor drills; physiotherapy-guided repetition; grip tasks</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Bilateral DLPFC (F3/C2)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Dual-Task Gait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Treadmill walking + cognitive task</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Cerebellar (F4/C7)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Dyskinesia / Balance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Balance board, coordinated reach-and-grasp</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lastRenderedPageBreak/>
              <w:t>Mixed F5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Motor–Cognitive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Alternating motor drills + cognitive switching tasks</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Motor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MDS-UPDRS III (consistent medication state) + clinician global impression</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Gait / FOG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Improvement in 10m walk, TUG, dual-task walking, and/or reduced FOG questionnaire score</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Cognition / Mood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Improvement in MoCA or executive tasks + change in PHQ-9/GAD-7 consistent with patient/caregiver report</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Better ADL function (patient/caregiver-reported or clinician-observed) and/or improved therapy engagement</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lastRenderedPageBreak/>
        <w:t xml:space="preserve">WARNING: </w:t>
      </w:r>
      <w:r w:rsidRPr="00D10F0C">
        <w:rPr>
          <w:rFonts w:ascii="Times New Roman" w:hAnsi="Times New Roman" w:cs="Times New Roman"/>
          <w:color w:val="000000"/>
          <w:sz w:val="24"/>
          <w:szCs w:val="24"/>
        </w:rPr>
        <w:t>AVOIDING FALSE CLASSIFICATION: Standardise medication timing between baseline and follow-up. If baseline was measured in OFF state and follow-up in ON state (or vice versa), you may create a false responder or false non-responder.</w:t>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PD diagnosis (UK Brain Bank or MDS criteria)</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Hoehn and Yahr stage I–IV (V with Doctor approval)</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outcome measures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TPS)</w:t>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cognitive impairment</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Unstable medical conditions</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psychosis / impulse control disorders</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dyskinesias preventing safe device application</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MONTAGE MAPPING: </w:t>
      </w:r>
      <w:r w:rsidRPr="00D10F0C">
        <w:rPr>
          <w:rFonts w:ascii="Times New Roman" w:hAnsi="Times New Roman" w:cs="Times New Roman"/>
          <w:color w:val="000000"/>
          <w:sz w:val="24"/>
          <w:szCs w:val="24"/>
        </w:rPr>
        <w:t>This quick reference maps each PD phenotype to the recommended SOZO device and network-oriented stimulation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Motor 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HDCstim</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Fpz</w:t>
            </w:r>
            <w:proofErr w:type="spellEnd"/>
            <w:r w:rsidRPr="00D10F0C">
              <w:rPr>
                <w:rFonts w:ascii="Times New Roman" w:hAnsi="Times New Roman" w:cs="Times New Roman"/>
                <w:sz w:val="24"/>
                <w:szCs w:val="24"/>
              </w:rPr>
              <w:t>/</w:t>
            </w:r>
            <w:proofErr w:type="spellStart"/>
            <w:r w:rsidRPr="00D10F0C">
              <w:rPr>
                <w:rFonts w:ascii="Times New Roman" w:hAnsi="Times New Roman" w:cs="Times New Roman"/>
                <w:sz w:val="24"/>
                <w:szCs w:val="24"/>
              </w:rPr>
              <w:t>Cbz</w:t>
            </w:r>
            <w:proofErr w:type="spellEnd"/>
            <w:r w:rsidRPr="00D10F0C">
              <w:rPr>
                <w:rFonts w:ascii="Times New Roman" w:hAnsi="Times New Roman" w:cs="Times New Roman"/>
                <w:sz w:val="24"/>
                <w:szCs w:val="24"/>
              </w:rPr>
              <w:t xml:space="preserve"> anode,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xml:space="preserve"> cathode) + TPS cranial + peripheral (palms/soles) + </w:t>
            </w:r>
            <w:proofErr w:type="spellStart"/>
            <w:r w:rsidRPr="00D10F0C">
              <w:rPr>
                <w:rFonts w:ascii="Times New Roman" w:hAnsi="Times New Roman" w:cs="Times New Roman"/>
                <w:sz w:val="24"/>
                <w:szCs w:val="24"/>
              </w:rPr>
              <w:t>taVNS</w:t>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Tremor primary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HDCstim</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(contralateral C3/C4 anode, </w:t>
            </w:r>
            <w:proofErr w:type="spellStart"/>
            <w:r w:rsidRPr="00D10F0C">
              <w:rPr>
                <w:rFonts w:ascii="Times New Roman" w:hAnsi="Times New Roman" w:cs="Times New Roman"/>
                <w:sz w:val="24"/>
                <w:szCs w:val="24"/>
              </w:rPr>
              <w:t>Fpz</w:t>
            </w:r>
            <w:proofErr w:type="spellEnd"/>
            <w:r w:rsidRPr="00D10F0C">
              <w:rPr>
                <w:rFonts w:ascii="Times New Roman" w:hAnsi="Times New Roman" w:cs="Times New Roman"/>
                <w:sz w:val="24"/>
                <w:szCs w:val="24"/>
              </w:rPr>
              <w:t xml:space="preserve"> cathode) + TPS cranial + peripheral (palms) +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supportive</w:t>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Gait / FOG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HDCstim</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Fpz</w:t>
            </w:r>
            <w:proofErr w:type="spellEnd"/>
            <w:r w:rsidRPr="00D10F0C">
              <w:rPr>
                <w:rFonts w:ascii="Times New Roman" w:hAnsi="Times New Roman" w:cs="Times New Roman"/>
                <w:sz w:val="24"/>
                <w:szCs w:val="24"/>
              </w:rPr>
              <w:t>/</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xml:space="preserve"> anode, </w:t>
            </w:r>
            <w:proofErr w:type="spellStart"/>
            <w:r w:rsidRPr="00D10F0C">
              <w:rPr>
                <w:rFonts w:ascii="Times New Roman" w:hAnsi="Times New Roman" w:cs="Times New Roman"/>
                <w:sz w:val="24"/>
                <w:szCs w:val="24"/>
              </w:rPr>
              <w:t>CervVII</w:t>
            </w:r>
            <w:proofErr w:type="spellEnd"/>
            <w:r w:rsidRPr="00D10F0C">
              <w:rPr>
                <w:rFonts w:ascii="Times New Roman" w:hAnsi="Times New Roman" w:cs="Times New Roman"/>
                <w:sz w:val="24"/>
                <w:szCs w:val="24"/>
              </w:rPr>
              <w:t xml:space="preserve"> cathode) + TPS cranial + peripheral (soles) +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supportive</w:t>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Cognitive / Executive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HDCstim</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(F3/F4 anode,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xml:space="preserve"> cathode) + TPS cranial targeted +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supportive</w:t>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Depression / Apathy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HDCstim</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(F3 anode, F2 cathode) + TPS cranial targeted +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 CES supportive</w:t>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Pain 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HDCstim</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(contralateral C3/C4 anode,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xml:space="preserve"> cathode) + TPS cranial + peripheral (affected derma/myotomes) +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 CES</w:t>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Dyskinesias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HDCstim</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Fpz</w:t>
            </w:r>
            <w:proofErr w:type="spellEnd"/>
            <w:r w:rsidRPr="00D10F0C">
              <w:rPr>
                <w:rFonts w:ascii="Times New Roman" w:hAnsi="Times New Roman" w:cs="Times New Roman"/>
                <w:sz w:val="24"/>
                <w:szCs w:val="24"/>
              </w:rPr>
              <w:t>/</w:t>
            </w:r>
            <w:proofErr w:type="spellStart"/>
            <w:r w:rsidRPr="00D10F0C">
              <w:rPr>
                <w:rFonts w:ascii="Times New Roman" w:hAnsi="Times New Roman" w:cs="Times New Roman"/>
                <w:sz w:val="24"/>
                <w:szCs w:val="24"/>
              </w:rPr>
              <w:t>Cbz</w:t>
            </w:r>
            <w:proofErr w:type="spellEnd"/>
            <w:r w:rsidRPr="00D10F0C">
              <w:rPr>
                <w:rFonts w:ascii="Times New Roman" w:hAnsi="Times New Roman" w:cs="Times New Roman"/>
                <w:sz w:val="24"/>
                <w:szCs w:val="24"/>
              </w:rPr>
              <w:t xml:space="preserve"> anode,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xml:space="preserve"> cathode) + TPS cranial + peripheral +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 CES supportive</w:t>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Mixed motor + cognitive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FNON alternating strategy (F5): Block A motor emphasis, Block B executive emphasis (3:2 ratio)</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Return to FNON Level 1: Reassess phenotype → Re-map network → Adjust montage/modality.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