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B3A5C"/>
      </w:pPr>
      <w:r>
        <w:rPr>
          <w:b/>
          <w:color w:val="FFFFFF"/>
          <w:sz w:val="26"/>
        </w:rPr>
        <w:t>SOZO BRAIN CENTER — PARTNERS TIER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ADHD Responder Tracking &amp; Classification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SOZO Response Assessment, Stimulant-tDCS Documentation &amp; FNON Non-Responder Pathway</w:t>
      </w:r>
    </w:p>
    <w:p>
      <w:pPr>
        <w:jc w:val="center"/>
      </w:pPr>
      <w:r>
        <w:rPr>
          <w:b/>
          <w:i/>
          <w:color w:val="2E75B6"/>
          <w:sz w:val="18"/>
        </w:rPr>
        <w:t>FNON + Evidence-Based Assessment — Includes Brain Network Analysis</w:t>
      </w:r>
    </w:p>
    <w:p/>
    <w:p>
      <w:r>
        <w:rPr>
          <w:b/>
          <w:color w:val="2E75B6"/>
          <w:sz w:val="20"/>
        </w:rP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Patient Name / ID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Date of Birth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Phenotype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Inattentive  □ Hyperactive-Impulsive  □ Combined  □ Emotional Dysregulation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Symptom Severity / Stage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Condition Name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Attention Deficit Hyperactivity Disorder (ADHD)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Medication Class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Stimulants/Atomoxetine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Referring Clinician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Assessment 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1B3A5C"/>
          <w:sz w:val="22"/>
        </w:rPr>
        <w:t>1. SOZO Operational Response Definition</w:t>
      </w:r>
    </w:p>
    <w:p>
      <w:r>
        <w:rPr>
          <w:sz w:val="18"/>
        </w:rPr>
        <w:t>Define response at end of block (typically 10–20 sessions). Patient must meet criteria in at least one primary domain AND show no deterioration in others.</w:t>
      </w:r>
    </w:p>
    <w:p>
      <w:r>
        <w:rPr>
          <w:i/>
          <w:sz w:val="18"/>
        </w:rPr>
        <w:t>This avoids "false non-responder" labelling due to stimulant peak/trough variability and sleep-dependent cognitive performance.</w:t>
      </w:r>
    </w:p>
    <w:p/>
    <w:p>
      <w:r>
        <w:rPr>
          <w:b/>
          <w:color w:val="1B3A5C"/>
          <w:sz w:val="22"/>
        </w:rPr>
        <w:t>2. Likely Responder Profiles</w:t>
      </w:r>
    </w:p>
    <w:p>
      <w:r>
        <w:rPr>
          <w:sz w:val="18"/>
        </w:rPr>
        <w:t>FNON-based responder profiling maps treatment targets to network hypotheses for optimised protocol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Best-Fit Patient Profile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Inattentive (DLPFC)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Chronic inattention, mind-wandering, DMN-CEN imbalance; low working memory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L-DLPFC anodal tDCS + working memory training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 (RCT support)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Hyperactive (R-IFC)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Impulse control deficit; orbitofrontal/IFC underactivity; action monitoring deficit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R-IFC/DLPFC tDCS + response inhibition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Combined (Bilateral DLPFC)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Inattention + hyperactivity; widespread prefrontal dysregulation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Bilateral DLPFC tDCS + dual-task training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Emotional Dysregulation (DLPFC+taVNS)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Mood instability, frustration intolerance; limbic-prefrontal dysregulation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L-DLPFC tDCS + taVNS + emotion regulation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Working Memory-dominant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Severe WM deficit; DLPFC-parietal network impairment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DLPFC + parietal tDCS + N-back training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Sleep-comorbid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ADHD + chronic sleep disruption; PFC downregulation from sleep debt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DLPFC tDCS + CES for sleep + morning scheduling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</w:tbl>
    <w:p/>
    <w:p>
      <w:r>
        <w:rPr>
          <w:b/>
          <w:color w:val="1B3A5C"/>
          <w:sz w:val="22"/>
        </w:rPr>
        <w:t>3. Predictors of Better Response</w:t>
      </w:r>
    </w:p>
    <w:p>
      <w:r>
        <w:rPr>
          <w:b/>
          <w:color w:val="2E75B6"/>
          <w:sz w:val="20"/>
        </w:rPr>
        <w:t>3A. Clinical Predictors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Present?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Inattention as primary symptom subtype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DLPFC tDCS most effective for attention/WM phenotype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Stimulant at stable dose with predictable peak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Dopaminergic tone required for optimal tDCS plasticity window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Capacity for cognitive training tasks during tDCS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Activity-dependent plasticity is essential for ADHD gains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Network hypothesis confirmed by 6-Network Assessment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FNON CEN/DMN imbalance confirmation guides target selection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</w:tbl>
    <w:p/>
    <w:p>
      <w:r>
        <w:rPr>
          <w:b/>
          <w:color w:val="2E75B6"/>
          <w:sz w:val="20"/>
        </w:rPr>
        <w:t>3B. Protocol Predictors (Modifiable)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Target choice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L-DLPFC anodal for inattention; R-IFC for impulsivity; bilateral for combined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Timing window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Administer during stimulant peak (45–90 min post-dose) for optimal dopaminergic state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Concurrent task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Working memory or inhibition tasks during tDCS critical for ADHD outcomes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Network alignment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FNON CEN hypoactivation + DMN hyperactivation guides DLPFC montage selection</w:t>
            </w:r>
          </w:p>
        </w:tc>
      </w:tr>
    </w:tbl>
    <w:p/>
    <w:p>
      <w:r>
        <w:rPr>
          <w:b/>
          <w:color w:val="2E75B6"/>
          <w:sz w:val="20"/>
        </w:rPr>
        <w:t>3C. Measurement Predictors</w:t>
      </w:r>
    </w:p>
    <w:p>
      <w:r>
        <w:rPr>
          <w:i/>
          <w:sz w:val="18"/>
        </w:rPr>
        <w:t>WARNING: If baseline is assessed at stimulant trough and follow-up at peak (or vice versa), or if the night before differed in sleep quality, you can create a false responder or non-responder. Always document stimulant timing, time of day, and prior-night sleep at each assessment.</w:t>
      </w:r>
    </w:p>
    <w:p/>
    <w:p>
      <w:r>
        <w:rPr>
          <w:b/>
          <w:color w:val="1B3A5C"/>
          <w:sz w:val="22"/>
        </w:rPr>
        <w:t>4. SOZO Response Classification</w:t>
      </w:r>
    </w:p>
    <w:p>
      <w:r>
        <w:rPr>
          <w:sz w:val="18"/>
        </w:rPr>
        <w:t>Use at Session 10 (or 8–10) and again at end of block: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≥30% improvement in primary ADHD measure + functional gain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Continue protocol; plan maintenance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Partial Responder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15–29% improvement OR attention but not executive gains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Re-phenotype; adjust task; consider bilateral montage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Non-Responder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&lt;15% improvement across domains after 10+ sessions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Follow FNON Non-Responder Pathway (Section 6)</w:t>
            </w:r>
          </w:p>
        </w:tc>
      </w:tr>
    </w:tbl>
    <w:p>
      <w:r>
        <w:rPr>
          <w:sz w:val="18"/>
        </w:rPr>
        <w:t>PATIENT CLASSIFICATION: □ Responder  □ Partial Responder  □ Non-Responder</w:t>
      </w:r>
    </w:p>
    <w:p/>
    <w:p>
      <w:r>
        <w:rPr>
          <w:b/>
          <w:color w:val="1B3A5C"/>
          <w:sz w:val="22"/>
        </w:rPr>
        <w:t>5. Likely Non-Responder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Limited Response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Alternative Strategy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Severe comorbid anxiety or depression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Emotional dysregulation masking attention gains; competing circuits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 comorbidity first; adjust protocol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Medication non-compliance or inconsistent dosing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Unstable dopaminergic tone confounds tDCS timing window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Stabilise medication schedule; re-baseline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ASD comorbidity with rigid routines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Task compliance limited; sensory sensitivities reduce tolerance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Adapted task protocol; sensory accommodations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Chronic sleep deprivation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PFC downregulation from sleep debt negates tDCS gains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Address sleep first; morning session scheduling</w:t>
            </w:r>
          </w:p>
        </w:tc>
      </w:tr>
    </w:tbl>
    <w:p/>
    <w:p>
      <w:r>
        <w:rPr>
          <w:b/>
          <w:color w:val="1B3A5C"/>
          <w:sz w:val="22"/>
        </w:rPr>
        <w:t>6. SOZO Non-Responder Pathway (FNON Level 5)</w:t>
      </w:r>
    </w:p>
    <w:p>
      <w:r>
        <w:rPr>
          <w:sz w:val="18"/>
        </w:rPr>
        <w:t>If no meaningful improvement after 8–10 sessions, follow FNON Level 5 adjustment pathway: Reassess phenotype, review medication state, adjust montage, consider multi-modal pathway.</w:t>
      </w:r>
    </w:p>
    <w:p>
      <w:r>
        <w:rPr>
          <w:sz w:val="18"/>
        </w:rPr>
        <w:t>DO NOT escalate intensity beyond safety limits. Always follow SOZO FNON Protocol safety parameters.</w:t>
      </w:r>
    </w:p>
    <w:p/>
    <w:p>
      <w:r>
        <w:rPr>
          <w:b/>
          <w:color w:val="1B3A5C"/>
          <w:sz w:val="22"/>
        </w:rPr>
        <w:t>7. Stimulant/Atomoxetine-tDCS Scheduling &amp; Documentation</w:t>
      </w:r>
    </w:p>
    <w:p>
      <w:r>
        <w:rPr>
          <w:sz w:val="18"/>
        </w:rPr>
        <w:t>tDCS effects are state-dependent. Dopaminergic/noradrenergic tone from stimulants modulates prefrontal excitability and NMDA-dependent plasticity.</w:t>
      </w:r>
    </w:p>
    <w:p>
      <w:r>
        <w:rPr>
          <w:b/>
          <w:color w:val="2E75B6"/>
          <w:sz w:val="20"/>
        </w:rPr>
        <w:t>7A. Stimulant ON-Peak vs Trough State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Stimulant Peak (Default SOZO)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Stimulant Trough (Avoid for Primary Sessions)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Definition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45–90 min after stimulant dose (peak plasma concentration)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before stimulant dose or at wearing-off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Task Participation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Better focus and task engagement; optimal WM capacity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Inattention and restlessness higher; poor compliance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Plasticity Substrate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Dopaminergic/NE tone supports DLPFC LTP-like plasticity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Reduced dopaminergic modulation; suboptimal plasticity window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Comparison Validity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Stable within-block comparisons if timing is consistent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High variability; cannot attribute change to tDCS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Support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Activity-dependent plasticity requires sufficient dopaminergic state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Controlled off-drug protocols only; document carefully</w:t>
            </w:r>
          </w:p>
        </w:tc>
      </w:tr>
    </w:tbl>
    <w:p/>
    <w:p>
      <w:r>
        <w:rPr>
          <w:b/>
          <w:color w:val="2E75B6"/>
          <w:sz w:val="20"/>
        </w:rPr>
        <w:t>7B. SOZO Scheduling Rules</w:t>
      </w:r>
    </w:p>
    <w:p>
      <w:r>
        <w:rPr>
          <w:sz w:val="18"/>
        </w:rPr>
        <w:t>SOZO Standard Rule: Choose ONE stimulant timing window for a block and keep it CONSISTENT. Assessing during stimulant peak vs trough is one of the most common sources of false classification in ADHD.</w:t>
      </w:r>
    </w:p>
    <w:p/>
    <w:p>
      <w:r>
        <w:rPr>
          <w:b/>
          <w:color w:val="2E75B6"/>
          <w:sz w:val="20"/>
        </w:rPr>
        <w:t>7C. Stimulant + tDCS Pairing by ADHD Phenotype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tDCS Config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Concurrent Task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Outcome Measures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Inattentive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L-DLPFC anodal 2mA during peak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N-back / sustained attention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CAARS-Inattention, CPT omissions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Hyperactive-Impulsive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R-IFC/DLPFC tDCS during peak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Response inhibition / Stop-Signal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CAARS-Hyperactivity, CPT commissions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Combined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Bilateral DLPFC tDCS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Dual-task cognitive training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Conners CAARS full scale, BRIEF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Emotional Dysregulation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L-DLPFC + taVNS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Emotion regulation exercises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CAARS, DERS, BRIEF-ERC</w:t>
            </w:r>
          </w:p>
        </w:tc>
      </w:tr>
    </w:tbl>
    <w:p/>
    <w:p>
      <w:r>
        <w:rPr>
          <w:b/>
          <w:color w:val="2E75B6"/>
          <w:sz w:val="20"/>
        </w:rPr>
        <w:t>7D. Stimulant-tDCS Documentation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Documentation Item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Completed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Stimulant/Atomoxetine name, formulation, and dose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Session timing relative to dose (minutes post-dose) documented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Stimulant peak window confirmed at session start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Baseline assessment stimulant state recorded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Follow-up in same stimulant timing window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Medication changes during block documented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Sleep quality night before session noted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Session start time consistent across block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Outcomes interpreted with stimulant timing context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</w:tbl>
    <w:p/>
    <w:p>
      <w:r>
        <w:rPr>
          <w:b/>
          <w:color w:val="1B3A5C"/>
          <w:sz w:val="22"/>
        </w:rPr>
        <w:t>8. SOZO Responder Signature Data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Stimulant Name, Formulation &amp; Dose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Dose Schedule (IR/XR)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Estimated Peak Window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___ to ___ minutes post-dose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Chosen State for Block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Stimulant peak (default)  □ Off-medication (document rationale)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Session Timing Post-Dose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___ minutes after dose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Sleep Quality Night Before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Good  □ Fair  □ Poor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Session Start Time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Keep consistent: ___:___ AM/PM</w:t>
            </w:r>
          </w:p>
        </w:tc>
      </w:tr>
    </w:tbl>
    <w:p/>
    <w:p>
      <w:r>
        <w:rPr>
          <w:b/>
          <w:color w:val="1B3A5C"/>
          <w:sz w:val="22"/>
        </w:rPr>
        <w:t>Regulator-Safe Language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Appropriate to State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AVOID Stating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an adjunctive intervention alongside stable ADHD medication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replaces stimulant medication in ADHD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Effects may be enhanced during stimulant peak with concurrent cognitive training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tDCS cures or resolves ADHD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is promising; effect sizes are moderate; response varies by phenotype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equivalent to stimulants for ADHD</w:t>
            </w:r>
          </w:p>
        </w:tc>
      </w:tr>
    </w:tbl>
    <w:p/>
    <w:p>
      <w:r>
        <w:rPr>
          <w:b/>
          <w:color w:val="2E75B6"/>
          <w:sz w:val="20"/>
        </w:rPr>
        <w:t>Response Domain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Response Criteria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Met?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Attention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≥30% improvement in CAARS inattention subscale or CPT omissions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Executive Function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Improvement in working memory, planning, or inhibition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Hyperactivity/Impulsivity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Reduction in CAARS hyperactivity subscale or commission errors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Better occupational/academic performance by self/clinician report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2E75B6"/>
          <w:sz w:val="20"/>
        </w:rPr>
        <w:t>Clinical Notes &amp; Rationale: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Treating Clinician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