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B3A5C"/>
      </w:pPr>
      <w:r>
        <w:rPr>
          <w:b/>
          <w:color w:val="FFFFFF"/>
          <w:sz w:val="26"/>
        </w:rPr>
        <w:t>SOZO BRAIN CENTER — PARTNERS TIER</w:t>
      </w:r>
    </w:p>
    <w:p>
      <w:pPr>
        <w:jc w:val="center"/>
        <w:shd w:val="clear" w:color="auto" w:fill="1B3A5C"/>
      </w:pPr>
      <w:r>
        <w:rPr>
          <w:b/>
          <w:color w:val="FFFFFF"/>
          <w:sz w:val="26"/>
        </w:rPr>
        <w:t>Chronic Pain Responder Tracking &amp; Classification</w:t>
      </w:r>
    </w:p>
    <w:p>
      <w:pPr>
        <w:jc w:val="center"/>
        <w:shd w:val="clear" w:color="auto" w:fill="1B3A5C"/>
      </w:pPr>
      <w:r>
        <w:rPr>
          <w:b/>
          <w:color w:val="FFFFFF"/>
          <w:sz w:val="26"/>
        </w:rPr>
        <w:t>SOZO Response Assessment, Pregabalin/Duloxetine-tDCS Documentation &amp; FNON Non-Responder Pathway</w:t>
      </w:r>
    </w:p>
    <w:p>
      <w:pPr>
        <w:jc w:val="center"/>
      </w:pPr>
      <w:r>
        <w:rPr>
          <w:b/>
          <w:i/>
          <w:color w:val="2E75B6"/>
          <w:sz w:val="18"/>
        </w:rPr>
        <w:t>FNON + Evidence-Based Assessment — Includes Brain Network Analysis</w:t>
      </w:r>
    </w:p>
    <w:p/>
    <w:p>
      <w:r>
        <w:rPr>
          <w:b/>
          <w:color w:val="2E75B6"/>
          <w:sz w:val="20"/>
        </w:rPr>
        <w:t>Patient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Patient Name / ID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Date of Birth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Phenotype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Central Sensitisation  □ Nociplastic  □ Neuropathic  □ Comorbid Depression  □ Mixed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Symptom Severity / Stage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Condition Name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Chronic Pain / Fibromyalgia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Medication Class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Pregabalin/Duloxetine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Referring Clinician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Assessment Date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r>
        <w:rPr>
          <w:b/>
          <w:color w:val="1B3A5C"/>
          <w:sz w:val="22"/>
        </w:rPr>
        <w:t>1. SOZO Operational Response Definition</w:t>
      </w:r>
    </w:p>
    <w:p>
      <w:r>
        <w:rPr>
          <w:sz w:val="18"/>
        </w:rPr>
        <w:t>Define response at end of block (typically 10–20 sessions). Patient must meet criteria in at least one primary domain AND show no deterioration in others.</w:t>
      </w:r>
    </w:p>
    <w:p>
      <w:r>
        <w:rPr>
          <w:i/>
          <w:sz w:val="18"/>
        </w:rPr>
        <w:t>This avoids "false non-responder" labelling due to pain flare timing, rescue medication use, and day-to-day pain variability.</w:t>
      </w:r>
    </w:p>
    <w:p/>
    <w:p>
      <w:r>
        <w:rPr>
          <w:b/>
          <w:color w:val="1B3A5C"/>
          <w:sz w:val="22"/>
        </w:rPr>
        <w:t>2. Likely Responder Profiles</w:t>
      </w:r>
    </w:p>
    <w:p>
      <w:r>
        <w:rPr>
          <w:sz w:val="18"/>
        </w:rPr>
        <w:t>FNON-based responder profiling maps treatment targets to network hypotheses for optimised protocol selection.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Phenotype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Best-Fit Patient Profile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Protocol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Central Sensitisation (M1 anodal)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Widespread pain amplification; cortical pain map expansion; poor descending inhibition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M1 anodal tDCS + graded activity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Strong (meta-analysis; fibromyalgia RCTs)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Nociplastic / Fibromyalgia (M1+DLPFC)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Fibromyalgia; fatigue + pain + mood overlap; CEN-limbic imbalance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M1 + DLPFC tDCS + graded exercise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Moderate (systematic reviews)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Neuropathic (M1-led)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Post-herpetic, CRPS, diabetic neuropathy; central pain sensitisation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M1 anodal tDCS + sensory desensitisation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Moderate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Comorbid Depression (DLPFC+M1)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Pain + depression overlap; mesolimbic-CEN dysregulation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DLPFC + M1 tDCS + taVNS + behavioural activation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Moderate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Catastrophising-dominant (DLPFC)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High pain catastrophising; PFC downregulation of pain matrix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L-DLPFC anodal + cognitive restructuring tasks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Emerging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Sleep-pain cycle (CES+M1)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Chronic pain driving sleep disruption and vice versa; arousal dysregulation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CES + M1 tDCS + sleep hygiene tasks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Emerging</w:t>
            </w:r>
          </w:p>
        </w:tc>
      </w:tr>
    </w:tbl>
    <w:p/>
    <w:p>
      <w:r>
        <w:rPr>
          <w:b/>
          <w:color w:val="1B3A5C"/>
          <w:sz w:val="22"/>
        </w:rPr>
        <w:t>3. Predictors of Better Response</w:t>
      </w:r>
    </w:p>
    <w:p>
      <w:r>
        <w:rPr>
          <w:b/>
          <w:color w:val="2E75B6"/>
          <w:sz w:val="20"/>
        </w:rPr>
        <w:t>3A. Clinical Predictors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Predictor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Present?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Central sensitisation confirmed (not purely peripheral)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M1 tDCS targets descending inhibitory control; most effective for central pain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Analgesic medication at stable dose ≥4 weeks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Stable GABAergic/serotonergic tone supports tDCS analgesia mechanism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Capacity for graded activity tasks during tDCS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Activity-dependent analgesia enhances tDCS analgesic effects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Network hypothesis confirmed by 6-Network Assessment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FNON pain matrix and descending inhibitory network mapping guides protocol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</w:tr>
    </w:tbl>
    <w:p/>
    <w:p>
      <w:r>
        <w:rPr>
          <w:b/>
          <w:color w:val="2E75B6"/>
          <w:sz w:val="20"/>
        </w:rPr>
        <w:t>3B. Protocol Predictors (Modifiable)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Target choice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M1 anodal for central/nociplastic; DLPFC for catastrophising/affective component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Activity integration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Graded activity during tDCS essential; rest-only sessions less effective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Flare management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Do not assess during known pain flare; maintain consistent activity level pre-session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Network alignment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FNON pain matrix (M1/DLPFC) vs descending inhibitory network guides montage</w:t>
            </w:r>
          </w:p>
        </w:tc>
      </w:tr>
    </w:tbl>
    <w:p/>
    <w:p>
      <w:r>
        <w:rPr>
          <w:b/>
          <w:color w:val="2E75B6"/>
          <w:sz w:val="20"/>
        </w:rPr>
        <w:t>3C. Measurement Predictors</w:t>
      </w:r>
    </w:p>
    <w:p>
      <w:r>
        <w:rPr>
          <w:i/>
          <w:sz w:val="18"/>
        </w:rPr>
        <w:t>WARNING: If baseline is assessed on a low-pain day and follow-up during a pain flare (or vice versa), or if rescue medication was used differently before assessments, you can create a false responder or non-responder. Always document pain NRS, rescue medication use, activity level, and stress level at assessment.</w:t>
      </w:r>
    </w:p>
    <w:p/>
    <w:p>
      <w:r>
        <w:rPr>
          <w:b/>
          <w:color w:val="1B3A5C"/>
          <w:sz w:val="22"/>
        </w:rPr>
        <w:t>4. SOZO Response Classification</w:t>
      </w:r>
    </w:p>
    <w:p>
      <w:r>
        <w:rPr>
          <w:sz w:val="18"/>
        </w:rPr>
        <w:t>Use at Session 10 (or 8–10) and again at end of block: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Classification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Criteria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Responder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≥30% pain NRS reduction + functional improvement on BPI/FIQ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Continue protocol; plan maintenance schedule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Partial Responder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10–29% pain reduction OR function improvement without pain change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Re-phenotype; adjust target; consider taVNS addition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Non-Responder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&lt;10% pain reduction in all domains after adequate trial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Follow FNON Non-Responder Pathway (Section 6)</w:t>
            </w:r>
          </w:p>
        </w:tc>
      </w:tr>
    </w:tbl>
    <w:p>
      <w:r>
        <w:rPr>
          <w:sz w:val="18"/>
        </w:rPr>
        <w:t>PATIENT CLASSIFICATION: □ Responder  □ Partial Responder  □ Non-Responder</w:t>
      </w:r>
    </w:p>
    <w:p/>
    <w:p>
      <w:r>
        <w:rPr>
          <w:b/>
          <w:color w:val="1B3A5C"/>
          <w:sz w:val="22"/>
        </w:rPr>
        <w:t>5. Likely Non-Responder 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Profile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Why Limited Response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Alternative Strategy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Predominantly peripheral pain (non-central)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M1/cortical tDCS not primary mechanism for peripheral nociception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Review diagnosis; consider TPS FT9 + peripheral focus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High opioid use confounding central sensitisation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Opioid-induced hyperalgesia complicates response measurement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Pain specialist review; opioid optimisation first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Severe psychiatric comorbidity (PTSD, severe depression)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Competing limbic circuit activation reduces analgesic effect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Treat psychiatric comorbidity first; integrated protocol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Medication non-compliance or frequent analgesic changes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Unstable descending inhibitory tone confounds tDCS effects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Stabilise medications; pain management plan review</w:t>
            </w:r>
          </w:p>
        </w:tc>
      </w:tr>
    </w:tbl>
    <w:p/>
    <w:p>
      <w:r>
        <w:rPr>
          <w:b/>
          <w:color w:val="1B3A5C"/>
          <w:sz w:val="22"/>
        </w:rPr>
        <w:t>6. SOZO Non-Responder Pathway (FNON Level 5)</w:t>
      </w:r>
    </w:p>
    <w:p>
      <w:r>
        <w:rPr>
          <w:sz w:val="18"/>
        </w:rPr>
        <w:t>If no meaningful improvement after 8–10 sessions, follow FNON Level 5 adjustment pathway: Reassess phenotype, review medication state, adjust montage, consider multi-modal pathway.</w:t>
      </w:r>
    </w:p>
    <w:p>
      <w:r>
        <w:rPr>
          <w:sz w:val="18"/>
        </w:rPr>
        <w:t>DO NOT escalate intensity beyond safety limits. Always follow SOZO FNON Protocol safety parameters.</w:t>
      </w:r>
    </w:p>
    <w:p/>
    <w:p>
      <w:r>
        <w:rPr>
          <w:b/>
          <w:color w:val="1B3A5C"/>
          <w:sz w:val="22"/>
        </w:rPr>
        <w:t>7. Pregabalin/Duloxetine-tDCS Scheduling &amp; Documentation</w:t>
      </w:r>
    </w:p>
    <w:p>
      <w:r>
        <w:rPr>
          <w:sz w:val="18"/>
        </w:rPr>
        <w:t>tDCS effects are state-dependent. Pregabalin modulates central sensitisation; duloxetine enhances descending inhibitory tone — both interact with tDCS analgesia mechanisms.</w:t>
      </w:r>
    </w:p>
    <w:p>
      <w:r>
        <w:rPr>
          <w:b/>
          <w:color w:val="2E75B6"/>
          <w:sz w:val="20"/>
        </w:rPr>
        <w:t>7A. Medicated vs Flare State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Stable Analgesic State (Default SOZO)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Flare / Rescue Medication Use (Document)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Definition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tDCS during stable analgesic dose without recent rescue medication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tDCS during pain flare or within 4h of rescue medication use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Pain Level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Baseline pain NRS consistent; valid comparison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Elevated NRS masks tDCS analgesic effect or creates false response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Task Participation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Better engagement with graded activity tasks at stable pain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Reduced compliance; pain-avoidance behaviour activated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Comparison Validity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Valid within-block if activity level is consistent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High variability; document and flag in classification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Evidence Support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Stable analgesic state required for M1 tDCS analgesia protocol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Avoid assessing on flare days; reschedule if NRS ≥7/10</w:t>
            </w:r>
          </w:p>
        </w:tc>
      </w:tr>
    </w:tbl>
    <w:p/>
    <w:p>
      <w:r>
        <w:rPr>
          <w:b/>
          <w:color w:val="2E75B6"/>
          <w:sz w:val="20"/>
        </w:rPr>
        <w:t>7B. SOZO Scheduling Rules</w:t>
      </w:r>
    </w:p>
    <w:p>
      <w:r>
        <w:rPr>
          <w:sz w:val="18"/>
        </w:rPr>
        <w:t>SOZO Standard Rule: Choose ONE baseline pain state context for a block and keep it CONSISTENT. Pain flare timing and rescue medication use are the most common sources of false classification in chronic pain.</w:t>
      </w:r>
    </w:p>
    <w:p/>
    <w:p>
      <w:r>
        <w:rPr>
          <w:b/>
          <w:color w:val="2E75B6"/>
          <w:sz w:val="20"/>
        </w:rPr>
        <w:t>7C. Analgesic + tDCS Pairing by Pain Phenotype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Phenotype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tDCS Config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Concurrent Task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Outcome Measures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Central Sensitisation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M1 anodal 2mA + contralateral cathodal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Graded activity tasks during tDCS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Pain NRS, BPI, FIQ, QST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Nociplastic/Fibromyalgia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M1 + DLPFC tDCS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Graded exercise + relaxation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FIQ-R, FACIT-F, PHQ-9, NRS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Catastrophising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L-DLPFC anodal + M1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Cognitive restructuring + graded exposure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PCS, NRS, PHQ-9, BPI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Comorbid Depression/Pain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DLPFC + taVNS + M1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Behavioural activation + light activity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PHQ-9, NRS, SHAPS, FIQ</w:t>
            </w:r>
          </w:p>
        </w:tc>
      </w:tr>
    </w:tbl>
    <w:p/>
    <w:p>
      <w:r>
        <w:rPr>
          <w:b/>
          <w:color w:val="2E75B6"/>
          <w:sz w:val="20"/>
        </w:rPr>
        <w:t>7D. Analgesic-tDCS Documentation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Documentation Item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Completed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N/A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Analgesic name, dose, and duration at current dose recorded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Rescue medication use within 4h of session documented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Pain NRS at session start recorded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Activity level day before session documented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Baseline assessment pain state and medication context recorded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Follow-up in same pain state context (not on flare day)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Medication changes during block documented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Session start time consistent across block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Outcomes interpreted with pain state and rescue medication context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</w:tbl>
    <w:p/>
    <w:p>
      <w:r>
        <w:rPr>
          <w:b/>
          <w:color w:val="1B3A5C"/>
          <w:sz w:val="22"/>
        </w:rPr>
        <w:t>8. SOZO Responder Signature Data Collection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Pregabalin/Duloxetine Name &amp; Dose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Duration at Current Dose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___ weeks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Rescue Medication Used Before Session?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No  □ Yes — Type/Dose/Time: ___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Pain NRS at Session Start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___/10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Activity Level Day Before Session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Rest  □ Light  □ Moderate  □ Heavy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Chosen State for Block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□ Stable analgesic (default)  □ Other (document rationale)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Session Start Time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Keep consistent: ___:___ AM/PM</w:t>
            </w:r>
          </w:p>
        </w:tc>
      </w:tr>
    </w:tbl>
    <w:p/>
    <w:p>
      <w:r>
        <w:rPr>
          <w:b/>
          <w:color w:val="1B3A5C"/>
          <w:sz w:val="22"/>
        </w:rPr>
        <w:t>Regulator-Safe Language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Appropriate to State</w:t>
            </w:r>
          </w:p>
        </w:tc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AVOID Stating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tDCS is an adjunctive pain management tool alongside stable analgesic therapy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tDCS eliminates chronic pain or replaces analgesic medications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Effects target central sensitisation; peripheral pain mechanisms are not directly addressed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tDCS repairs underlying tissue damage or pathology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Evidence is moderate for central/nociplastic pain; effect sizes are clinically meaningful in responders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tDCS is curative for fibromyalgia or chronic pain syndromes</w:t>
            </w:r>
          </w:p>
        </w:tc>
      </w:tr>
    </w:tbl>
    <w:p/>
    <w:p>
      <w:r>
        <w:rPr>
          <w:b/>
          <w:color w:val="2E75B6"/>
          <w:sz w:val="20"/>
        </w:rPr>
        <w:t>Response Domain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Response Criteria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Met?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Pain Intensity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≥30% reduction in pain NRS or VAS; MCID met on BPI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Pain Interference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Reduction in BPI interference subscale; improved daily activity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Mood/Affect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Reduction in pain-related depression (PHQ-9) or anxiety (GAD-7)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Function/Sleep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Better sleep quality, physical function, or fatigue reduction (FIQ/FACIT)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r>
        <w:rPr>
          <w:b/>
          <w:color w:val="2E75B6"/>
          <w:sz w:val="20"/>
        </w:rPr>
        <w:t>Clinical Notes &amp; Rationale:</w:t>
      </w:r>
    </w:p>
    <w:p>
      <w:r>
        <w:rPr>
          <w:sz w:val="18"/>
        </w:rPr>
        <w:t>____________________________________________________________</w:t>
      </w:r>
    </w:p>
    <w:p>
      <w:r>
        <w:rPr>
          <w:sz w:val="18"/>
        </w:rPr>
        <w:t>____________________________________________________________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Treating Clinician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