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B3A5C"/>
      </w:pPr>
      <w:r>
        <w:rPr>
          <w:b/>
          <w:color w:val="FFFFFF"/>
          <w:sz w:val="26"/>
        </w:rPr>
        <w:t>SOZO BRAIN CENTER — PARTNERS TIER</w:t>
      </w:r>
    </w:p>
    <w:p>
      <w:pPr>
        <w:jc w:val="center"/>
        <w:shd w:val="clear" w:color="auto" w:fill="1B3A5C"/>
      </w:pPr>
      <w:r>
        <w:rPr>
          <w:b/>
          <w:color w:val="FFFFFF"/>
          <w:sz w:val="26"/>
        </w:rPr>
        <w:t>Insomnia Responder Tracking &amp; Classification</w:t>
      </w:r>
    </w:p>
    <w:p>
      <w:pPr>
        <w:jc w:val="center"/>
        <w:shd w:val="clear" w:color="auto" w:fill="1B3A5C"/>
      </w:pPr>
      <w:r>
        <w:rPr>
          <w:b/>
          <w:color w:val="FFFFFF"/>
          <w:sz w:val="26"/>
        </w:rPr>
        <w:t>SOZO Response Assessment, Sleep Medication-tDCS Documentation &amp; FNON Non-Responder Pathway</w:t>
      </w:r>
    </w:p>
    <w:p>
      <w:pPr>
        <w:jc w:val="center"/>
      </w:pPr>
      <w:r>
        <w:rPr>
          <w:b/>
          <w:i/>
          <w:color w:val="2E75B6"/>
          <w:sz w:val="18"/>
        </w:rPr>
        <w:t>FNON + Evidence-Based Assessment — Includes Brain Network Analysis</w:t>
      </w:r>
    </w:p>
    <w:p/>
    <w:p>
      <w:r>
        <w:rPr>
          <w:b/>
          <w:color w:val="2E75B6"/>
          <w:sz w:val="20"/>
        </w:rP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Patient Name / ID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Date of Birth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Phenotype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Sleep-onset  □ Sleep-maintenance  □ Early-waking  □ Hyperarousal  □ Mixed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Symptom Severity / Stage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Condition Name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Insomnia Disorder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Medication Class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Z-drugs/Suvorexant/Trazodone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Referring Clinician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Assessment Date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1B3A5C"/>
          <w:sz w:val="22"/>
        </w:rPr>
        <w:t>1. SOZO Operational Response Definition</w:t>
      </w:r>
    </w:p>
    <w:p>
      <w:r>
        <w:rPr>
          <w:sz w:val="18"/>
        </w:rPr>
        <w:t>Define response at end of block (typically 10–20 sessions). Patient must meet criteria in at least one primary domain AND show no deterioration in others.</w:t>
      </w:r>
    </w:p>
    <w:p>
      <w:r>
        <w:rPr>
          <w:i/>
          <w:sz w:val="18"/>
        </w:rPr>
        <w:t>This avoids "false non-responder" labelling due to night-to-night sleep variability and weekend vs weekday pattern differences.</w:t>
      </w:r>
    </w:p>
    <w:p/>
    <w:p>
      <w:r>
        <w:rPr>
          <w:b/>
          <w:color w:val="1B3A5C"/>
          <w:sz w:val="22"/>
        </w:rPr>
        <w:t>2. Likely Responder Profiles</w:t>
      </w:r>
    </w:p>
    <w:p>
      <w:r>
        <w:rPr>
          <w:sz w:val="18"/>
        </w:rPr>
        <w:t>FNON-based responder profiling maps treatment targets to network hypotheses for optimised protocol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Best-Fit Patient Profile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Hyperarousal/Sleep-onset (CES-led)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Cognitive hyperarousal; racing thoughts at bedtime; cortical over-activation; high ANS arousal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CES evening protocol + DLPFC cathodal + relaxation tasks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Moderate (RCT support)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Sleep-maintenance (CES+DLPFC)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Frequent nocturnal awakenings; light sleep; reduced slow-wave activity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CES + DLPFC tDCS + sleep restriction therapy support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Moderate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Early-waking (DLPFC+taVNS)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Early morning awakening; often comorbid depression; circadian phase advance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taVNS + DLPFC tDCS + CBT-I support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Anxiety-driven insomnia (DLPFC+CES)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Anticipatory anxiety about sleep; sleep effort paradox; amygdala hyperactivation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L-DLPFC anodal + CES + stimulus control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Moderate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Circadian-disrupted (taVNS+CES)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Irregular sleep-wake timing; shift work; chronotype mismatch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taVNS + CES + bright light therapy adjunct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Emerging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Comorbid depression/insomnia (DLPFC+CES)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Sleep disruption driven by depression; early waking; non-restorative sleep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DLPFC tDCS + taVNS + CES + CBT-I elements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Moderate</w:t>
            </w:r>
          </w:p>
        </w:tc>
      </w:tr>
    </w:tbl>
    <w:p/>
    <w:p>
      <w:r>
        <w:rPr>
          <w:b/>
          <w:color w:val="1B3A5C"/>
          <w:sz w:val="22"/>
        </w:rPr>
        <w:t>3. Predictors of Better Response</w:t>
      </w:r>
    </w:p>
    <w:p>
      <w:r>
        <w:rPr>
          <w:b/>
          <w:color w:val="2E75B6"/>
          <w:sz w:val="20"/>
        </w:rPr>
        <w:t>3A. Clinical Predictors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Predictor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Present?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Primary insomnia with hyperarousal as core feature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CES and DLPFC protocols most effective for cortical/ANS hyperarousal phenotype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CBT-I ongoing or willingness to engage with sleep hygiene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tDCS augments CBT-I; sleep behaviours required for sustained gains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Sleep medication at stable dose (not acutely changing)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Medication changes confound sleep architecture measurement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Network hypothesis confirmed by 6-Network Assessment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FNON hyperarousal network and sleep circuit mapping guides CES/DLPFC targeting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</w:tr>
    </w:tbl>
    <w:p/>
    <w:p>
      <w:r>
        <w:rPr>
          <w:b/>
          <w:color w:val="2E75B6"/>
          <w:sz w:val="20"/>
        </w:rPr>
        <w:t>3B. Protocol Predictors (Modifiable)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Target choice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CES (evening) for hyperarousal; DLPFC tDCS for cognitive/anxiety phenotype; taVNS for circadian/depression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Session timing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CES in evening (1–2h before bed); DLPFC tDCS daytime; not immediately before sleep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Diary requirement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7-day sleep diary mandatory for valid assessment; single-night measurement unreliable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Network alignment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FNON hyperarousal circuit + default mode hyperactivation guides inhibitory montage selection</w:t>
            </w:r>
          </w:p>
        </w:tc>
      </w:tr>
    </w:tbl>
    <w:p/>
    <w:p>
      <w:r>
        <w:rPr>
          <w:b/>
          <w:color w:val="2E75B6"/>
          <w:sz w:val="20"/>
        </w:rPr>
        <w:t>3C. Measurement Predictors</w:t>
      </w:r>
    </w:p>
    <w:p>
      <w:r>
        <w:rPr>
          <w:i/>
          <w:sz w:val="18"/>
        </w:rPr>
        <w:t>WARNING: Night-to-night sleep variability is inherent in insomnia. If baseline uses a single poor-sleep night and follow-up uses a single good-sleep night (or vice versa), you will create false responders or non-responders. Always use 7-day sleep diary averages for assessments; document weekend vs weekday patterns and sleep medication use.</w:t>
      </w:r>
    </w:p>
    <w:p/>
    <w:p>
      <w:r>
        <w:rPr>
          <w:b/>
          <w:color w:val="1B3A5C"/>
          <w:sz w:val="22"/>
        </w:rPr>
        <w:t>4. SOZO Response Classification</w:t>
      </w:r>
    </w:p>
    <w:p>
      <w:r>
        <w:rPr>
          <w:sz w:val="18"/>
        </w:rPr>
        <w:t>Use at Session 10 (or 8–10) and again at end of block: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Responder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≥6 point ISI reduction + meaningful SOL or WASO improvement on 7-day average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Continue protocol; plan maintenance with CBT-I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Partial Responder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ISI reduction 3–5 points OR sleep quality improvement without SOL/WASO change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Re-phenotype; adjust session timing; intensify CBT-I integration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Non-Responder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&lt;3 point ISI change after adequate trial with diary-based assessment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Follow FNON Non-Responder Pathway (Section 6)</w:t>
            </w:r>
          </w:p>
        </w:tc>
      </w:tr>
    </w:tbl>
    <w:p>
      <w:r>
        <w:rPr>
          <w:sz w:val="18"/>
        </w:rPr>
        <w:t>PATIENT CLASSIFICATION: □ Responder  □ Partial Responder  □ Non-Responder</w:t>
      </w:r>
    </w:p>
    <w:p/>
    <w:p>
      <w:r>
        <w:rPr>
          <w:b/>
          <w:color w:val="1B3A5C"/>
          <w:sz w:val="22"/>
        </w:rPr>
        <w:t>5. Likely Non-Responder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Why Limited Response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Alternative Strategy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Insomnia with significant sleep apnoea (untreated)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Respiratory arousal driving insomnia; cortical modulation insufficient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Sleep study; CPAP initiation; reassess after treatment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Chronic hypnotic dependence (benzodiazepines &gt;3 months)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Rebound insomnia and tolerance confound sleep measurement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Gradual taper program; CBT-I intensification; specialist review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Insomnia secondary to uncontrolled psychiatric disorder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Primary diagnosis driving sleep disruption; tDCS insufficient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Treat primary condition; reassess insomnia phenotype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Extreme sleep phase disorder (severe DSPS/ASPS)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Circadian misalignment requires chronotherapy; cortical protocols insufficient alone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Chronotherapy; bright light; melatonin; reassess after phase correction</w:t>
            </w:r>
          </w:p>
        </w:tc>
      </w:tr>
    </w:tbl>
    <w:p/>
    <w:p>
      <w:r>
        <w:rPr>
          <w:b/>
          <w:color w:val="1B3A5C"/>
          <w:sz w:val="22"/>
        </w:rPr>
        <w:t>6. SOZO Non-Responder Pathway (FNON Level 5)</w:t>
      </w:r>
    </w:p>
    <w:p>
      <w:r>
        <w:rPr>
          <w:sz w:val="18"/>
        </w:rPr>
        <w:t>If no meaningful improvement after 8–10 sessions, follow FNON Level 5 adjustment pathway: Reassess phenotype, review medication state, adjust montage, consider multi-modal pathway.</w:t>
      </w:r>
    </w:p>
    <w:p>
      <w:r>
        <w:rPr>
          <w:sz w:val="18"/>
        </w:rPr>
        <w:t>DO NOT escalate intensity beyond safety limits. Always follow SOZO FNON Protocol safety parameters.</w:t>
      </w:r>
    </w:p>
    <w:p/>
    <w:p>
      <w:r>
        <w:rPr>
          <w:b/>
          <w:color w:val="1B3A5C"/>
          <w:sz w:val="22"/>
        </w:rPr>
        <w:t>7. Sleep Medication-tDCS Scheduling &amp; Documentation</w:t>
      </w:r>
    </w:p>
    <w:p>
      <w:r>
        <w:rPr>
          <w:sz w:val="18"/>
        </w:rPr>
        <w:t>tDCS effects are state-dependent. Z-drugs/suvorexant modulate GABA-A/orexin pathways; trazodone affects histaminergic arousal — all interact with tDCS effects on hyperarousal circuits.</w:t>
      </w:r>
    </w:p>
    <w:p>
      <w:r>
        <w:rPr>
          <w:b/>
          <w:color w:val="2E75B6"/>
          <w:sz w:val="20"/>
        </w:rPr>
        <w:t>7A. Sleep-Medicated vs Medication-Free Night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Stable Sleep Medication State (Default SOZO)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Medication Change / Acute Adjustment (Avoid)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Definition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during stable sleep medication dose with consistent use pattern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during hypnotic initiation, dose change, or taper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Sleep Architecture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Consistent sleep structure for within-block diary comparison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Medication change alters REM/NREM; confounds diary measures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Task Participation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Better daytime alertness at stable dose; consistent session engagement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Residual sedation or rebound insomnia reduces session compliance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Comparison Validity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7-day diary averages valid at stable medication state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Cannot attribute diary changes to tDCS during medication adjustment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Evidence Support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All CES/tDCS insomnia protocols require stable pharmacological baseline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Document if medication changes are clinically necessary; flag in assessment</w:t>
            </w:r>
          </w:p>
        </w:tc>
      </w:tr>
    </w:tbl>
    <w:p/>
    <w:p>
      <w:r>
        <w:rPr>
          <w:b/>
          <w:color w:val="2E75B6"/>
          <w:sz w:val="20"/>
        </w:rPr>
        <w:t>7B. SOZO Scheduling Rules</w:t>
      </w:r>
    </w:p>
    <w:p>
      <w:r>
        <w:rPr>
          <w:sz w:val="18"/>
        </w:rPr>
        <w:t>SOZO Standard Rule: Assess using 7-day sleep diary averages, NOT single-night measures. Use the SAME sleep medication timing and weekday/weekend pattern for all assessment windows to ensure valid comparison.</w:t>
      </w:r>
    </w:p>
    <w:p/>
    <w:p>
      <w:r>
        <w:rPr>
          <w:b/>
          <w:color w:val="2E75B6"/>
          <w:sz w:val="20"/>
        </w:rPr>
        <w:t>7C. Sleep Medication + tDCS Pairing by Insomnia Phenotype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tDCS Config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Concurrent Task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Outcome Measures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Hyperarousal/Sleep-onset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CES evening (1–2h pre-bed) + DLPFC cathodal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Relaxation + PMR + CBT-I stimulus control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ISI, PSQI, 7-day diary SOL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Sleep-maintenance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CES + DLPFC tDCS daytime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Sleep restriction support + wake-time activity tasks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ISI, 7-day diary WASO, PSQI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Anxiety-driven insomnia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L-DLPFC anodal + CES evening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Cognitive restructuring + worry time task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ISI, GAD-7, DBAS-16, diary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Comorbid depression + insomnia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DLPFC + taVNS + CES evening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Behavioural activation + CBT-I combined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PHQ-9, ISI, PSQI, FACIT-F</w:t>
            </w:r>
          </w:p>
        </w:tc>
      </w:tr>
    </w:tbl>
    <w:p/>
    <w:p>
      <w:r>
        <w:rPr>
          <w:b/>
          <w:color w:val="2E75B6"/>
          <w:sz w:val="20"/>
        </w:rPr>
        <w:t>7D. Sleep Medication-tDCS Documentation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Documentation Item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Completed</w:t>
            </w:r>
          </w:p>
        </w:tc>
        <w:tc>
          <w:tcPr>
            <w:tcW w:type="dxa" w:w="336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N/A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Sleep medication name, dose, and frequency of use recorded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7-day sleep diary completed for each assessment window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Weekend vs weekday sleep pattern difference documented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Baseline assessment 7-day diary window and medication state recorded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Follow-up 7-day diary window uses same weekday/weekend composition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Medication changes during block documented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CES session timing relative to bedtime documented (if applicable)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DAYTIME session start time consistent across block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  <w:tr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Outcomes use 7-day averages, not single-night measures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Yes</w:t>
            </w:r>
          </w:p>
        </w:tc>
        <w:tc>
          <w:tcPr>
            <w:tcW w:type="dxa" w:w="3360"/>
            <w:shd w:val="clear" w:color="auto" w:fill="EBF0F7"/>
          </w:tcPr>
          <w:p>
            <w:r/>
            <w:r>
              <w:rPr>
                <w:b w:val="0"/>
                <w:sz w:val="18"/>
              </w:rPr>
              <w:t>□</w:t>
            </w:r>
          </w:p>
        </w:tc>
      </w:tr>
    </w:tbl>
    <w:p/>
    <w:p>
      <w:r>
        <w:rPr>
          <w:b/>
          <w:color w:val="1B3A5C"/>
          <w:sz w:val="22"/>
        </w:rPr>
        <w:t>8. SOZO Responder Signature Data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Sleep Medication Name &amp; Dose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Frequency of Use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□ Nightly  □ PRN (freq: ___ nights/week)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Duration at Current Regimen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___ weeks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7-Day Sleep Diary Completed?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□ Yes — Average SOL: ___ min, WASO: ___ min  □ No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Weekend vs Weekday Pattern Difference?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Similar  □ Different (weekend later by ___ hours)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Chosen State for Block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□ Stable medication regimen (default)  □ Tapering (document rationale)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Session Timing for CES (if used)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Evening: ___:___ PM</w:t>
            </w:r>
          </w:p>
        </w:tc>
      </w:tr>
    </w:tbl>
    <w:p/>
    <w:p>
      <w:r>
        <w:rPr>
          <w:b/>
          <w:color w:val="1B3A5C"/>
          <w:sz w:val="22"/>
        </w:rPr>
        <w:t>Regulator-Safe Language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Appropriate to State</w:t>
            </w:r>
          </w:p>
        </w:tc>
        <w:tc>
          <w:tcPr>
            <w:tcW w:type="dxa" w:w="504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AVOID Stating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tDCS/CES is an adjunctive intervention best combined with CBT-I principles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or CES replaces sleep medication or cures insomnia disorder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Effects target cortical hyperarousal and ANS dysregulation; sleep behaviour change also required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tDCS induces deep sleep or repairs sleep architecture independently</w:t>
            </w:r>
          </w:p>
        </w:tc>
      </w:tr>
      <w:tr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Evidence is promising for hyperarousal phenotype; CBT-I remains gold standard</w:t>
            </w:r>
          </w:p>
        </w:tc>
        <w:tc>
          <w:tcPr>
            <w:tcW w:type="dxa" w:w="5040"/>
            <w:shd w:val="clear" w:color="auto" w:fill="EBF0F7"/>
          </w:tcPr>
          <w:p>
            <w:r/>
            <w:r>
              <w:rPr>
                <w:b w:val="0"/>
                <w:sz w:val="18"/>
              </w:rPr>
              <w:t>tDCS is equivalent to CBT-I for chronic insomnia</w:t>
            </w:r>
          </w:p>
        </w:tc>
      </w:tr>
    </w:tbl>
    <w:p/>
    <w:p>
      <w:r>
        <w:rPr>
          <w:b/>
          <w:color w:val="2E75B6"/>
          <w:sz w:val="20"/>
        </w:rPr>
        <w:t>Response Domain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Response Criteria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Met?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Sleep Onset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Reduction in SOL by ≥30 min on 7-day diary average or ISI sleep onset item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Sleep Maintenance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Reduction in WASO by ≥30 min on 7-day diary average or ISI maintenance item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Sleep Quality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≥6 point reduction on ISI total score (MCID) or PSQI meaningful improvement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Daytime Function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Improved daytime fatigue, alertness, or daily function by self-report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  <w:t>□ Y □ 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color w:val="2E75B6"/>
          <w:sz w:val="20"/>
        </w:rPr>
        <w:t>Clinical Notes &amp; Rationale:</w:t>
      </w:r>
    </w:p>
    <w:p>
      <w:r>
        <w:rPr>
          <w:sz w:val="18"/>
        </w:rPr>
        <w:t>____________________________________________________________</w:t>
      </w:r>
    </w:p>
    <w:p>
      <w:r>
        <w:rPr>
          <w:sz w:val="18"/>
        </w:rPr>
        <w:t>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520"/>
            <w:shd w:val="clear" w:color="auto" w:fill="1B3A5C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  <w:t>Treating Clinician</w:t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20"/>
            <w:shd w:val="clear" w:color="auto" w:fill="EBF0F7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