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hd w:val="clear" w:color="auto" w:fill="1B3A5C"/>
      </w:pPr>
      <w:r>
        <w:rPr>
          <w:b/>
          <w:color w:val="FFFFFF"/>
          <w:sz w:val="26"/>
        </w:rPr>
        <w:t>SOZO BRAIN CENTER — PARTNERS TIER</w:t>
      </w:r>
    </w:p>
    <w:p>
      <w:pPr>
        <w:jc w:val="center"/>
        <w:shd w:val="clear" w:color="auto" w:fill="1B3A5C"/>
      </w:pPr>
      <w:r>
        <w:rPr>
          <w:b/>
          <w:color w:val="FFFFFF"/>
          <w:sz w:val="26"/>
        </w:rPr>
        <w:t>Long COVID Responder Tracking &amp; Classification</w:t>
      </w:r>
    </w:p>
    <w:p>
      <w:pPr>
        <w:jc w:val="center"/>
        <w:shd w:val="clear" w:color="auto" w:fill="1B3A5C"/>
      </w:pPr>
      <w:r>
        <w:rPr>
          <w:b/>
          <w:color w:val="FFFFFF"/>
          <w:sz w:val="26"/>
        </w:rPr>
        <w:t>SOZO Response Assessment, LDN/SSRI-tDCS Documentation &amp; FNON Non-Responder Pathway</w:t>
      </w:r>
    </w:p>
    <w:p>
      <w:pPr>
        <w:jc w:val="center"/>
      </w:pPr>
      <w:r>
        <w:rPr>
          <w:b/>
          <w:i/>
          <w:color w:val="2E75B6"/>
          <w:sz w:val="18"/>
        </w:rPr>
        <w:t>FNON + Evidence-Based Assessment — Includes Brain Network Analysis</w:t>
      </w:r>
    </w:p>
    <w:p/>
    <w:p>
      <w:r>
        <w:rPr>
          <w:b/>
          <w:color w:val="2E75B6"/>
          <w:sz w:val="20"/>
        </w:rPr>
        <w:t>Patient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04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Patient Name / ID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Date of Birth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Phenotype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Cognitive (Brain Fog)  □ Autonomic/POTS  □ Fatigue-dominant  □ Cardio-respiratory  □ Mixed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Symptom Severity / Stage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Condition Name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Long COVID (Post-COVID Syndrome)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Medication Class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Symptomatic (LDN/SSRIs)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Referring Clinician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Assessment Date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r>
        <w:rPr>
          <w:b/>
          <w:color w:val="1B3A5C"/>
          <w:sz w:val="22"/>
        </w:rPr>
        <w:t>1. SOZO Operational Response Definition</w:t>
      </w:r>
    </w:p>
    <w:p>
      <w:r>
        <w:rPr>
          <w:sz w:val="18"/>
        </w:rPr>
        <w:t>Define response at end of block (typically 10–20 sessions). Patient must meet criteria in at least one primary domain AND show no deterioration in others.</w:t>
      </w:r>
    </w:p>
    <w:p>
      <w:r>
        <w:rPr>
          <w:i/>
          <w:sz w:val="18"/>
        </w:rPr>
        <w:t>This avoids "false non-responder" labelling due to post-exertional malaise and good day/bad day fluctuation characteristic of Long COVID.</w:t>
      </w:r>
    </w:p>
    <w:p/>
    <w:p>
      <w:r>
        <w:rPr>
          <w:b/>
          <w:color w:val="1B3A5C"/>
          <w:sz w:val="22"/>
        </w:rPr>
        <w:t>2. Likely Responder Profiles</w:t>
      </w:r>
    </w:p>
    <w:p>
      <w:r>
        <w:rPr>
          <w:sz w:val="18"/>
        </w:rPr>
        <w:t>FNON-based responder profiling maps treatment targets to network hypotheses for optimised protocol selection.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Phenotype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Best-Fit Patient Profile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Protocol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Evidence</w:t>
            </w:r>
          </w:p>
        </w:tc>
      </w:tr>
      <w:tr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Cognitive/Brain Fog (DLPFC)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Processing speed, WM, word-finding deficits; CEN hypoactivation; neuroinflammation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L-DLPFC anodal + paced cognitive tasks (brief)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Emerging (pilot)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Fatigue-dominant (CES+DLPFC)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Profound fatigue; post-exertional malaise; brainstem-autonomic dysregulation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CES + DLPFC adjunct + paced micro-tasks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Emerging</w:t>
            </w:r>
          </w:p>
        </w:tc>
      </w:tr>
      <w:tr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Autonomic/POTS (taVNS-led)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Orthostatic intolerance; vagal tone dysregulation; HRV reduction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taVNS primary + DLPFC adjunct + breathing tasks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Emerging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Mood/Dysautonomia overlap (DLPFC+taVNS)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Anxiety/depression + autonomic instability; limbic-ANS dysregulation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DLPFC + taVNS + CES + relaxation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Emerging</w:t>
            </w:r>
          </w:p>
        </w:tc>
      </w:tr>
      <w:tr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Sleep disruption (CES-led)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Non-restorative sleep; altered circadian rhythm; high fatigue on waking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CES evening protocol + morning DLPFC tDCS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Emerging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Mixed/Multi-system (multi-target)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Brain fog + fatigue + autonomic + mood; widespread network disruption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Staged DLPFC + taVNS + CES approach; pacing-based protocol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Emerging</w:t>
            </w:r>
          </w:p>
        </w:tc>
      </w:tr>
    </w:tbl>
    <w:p/>
    <w:p>
      <w:r>
        <w:rPr>
          <w:b/>
          <w:color w:val="1B3A5C"/>
          <w:sz w:val="22"/>
        </w:rPr>
        <w:t>3. Predictors of Better Response</w:t>
      </w:r>
    </w:p>
    <w:p>
      <w:r>
        <w:rPr>
          <w:b/>
          <w:color w:val="2E75B6"/>
          <w:sz w:val="20"/>
        </w:rPr>
        <w:t>3A. Clinical Predictors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Predictor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Why It Matters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Present?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Cognitive impairment as a core complaint (not fatigue-only)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DLPFC tDCS most specific when CEN-brain fog is primary target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Y □ N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Stable post-COVID phase (no active viral reactivation)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Active reactivation episodes confound neural state and symptom levels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 Y □ N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Pacing protocol in place (no PEM cycles)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PEM must be controlled to prevent false non-responder classification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Y □ N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Network hypothesis confirmed by 6-Network Assessment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FNON CEN disruption and autonomic network mapping guides protocol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 Y □ N</w:t>
            </w:r>
          </w:p>
        </w:tc>
      </w:tr>
    </w:tbl>
    <w:p/>
    <w:p>
      <w:r>
        <w:rPr>
          <w:b/>
          <w:color w:val="2E75B6"/>
          <w:sz w:val="20"/>
        </w:rPr>
        <w:t>3B. Protocol Predictors (Modifiable)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Factor</w:t>
            </w:r>
          </w:p>
        </w:tc>
        <w:tc>
          <w:tcPr>
            <w:tcW w:type="dxa" w:w="504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Recommendation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Target choice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DLPFC for brain fog; CES for fatigue/sleep; taVNS for autonomic/POTS phenotype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Session intensity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Start with low-intensity short sessions (15–20 min); titrate up; strict pacing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PEM monitoring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Stop protocol if PEM is triggered; do not push through; restart only when rested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Network alignment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FNON CEN hypoactivation + ANS dysregulation + sleep network disruption guides protocol</w:t>
            </w:r>
          </w:p>
        </w:tc>
      </w:tr>
    </w:tbl>
    <w:p/>
    <w:p>
      <w:r>
        <w:rPr>
          <w:b/>
          <w:color w:val="2E75B6"/>
          <w:sz w:val="20"/>
        </w:rPr>
        <w:t>3C. Measurement Predictors</w:t>
      </w:r>
    </w:p>
    <w:p>
      <w:r>
        <w:rPr>
          <w:i/>
          <w:sz w:val="18"/>
        </w:rPr>
        <w:t>WARNING: Post-exertional malaise (PEM) triggered by activity before assessment can create a false non-responder. Good day vs bad day fluctuation is extreme in Long COVID. Always assess on a rested day, document exertion level 24–48h prior, screen for viral reactivation episodes, and use consistent pacing.</w:t>
      </w:r>
    </w:p>
    <w:p/>
    <w:p>
      <w:r>
        <w:rPr>
          <w:b/>
          <w:color w:val="1B3A5C"/>
          <w:sz w:val="22"/>
        </w:rPr>
        <w:t>4. SOZO Response Classification</w:t>
      </w:r>
    </w:p>
    <w:p>
      <w:r>
        <w:rPr>
          <w:sz w:val="18"/>
        </w:rPr>
        <w:t>Use at Session 10 (or 8–10) and again at end of block: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Classification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Criteria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Action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Responder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Meaningful improvement in cognitive or fatigue domain + better activity tolerance without PEM increase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Continue protocol; maintain pacing; plan maintenance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Partial Responder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Brain fog improvement without fatigue change OR fatigue improvement without PEM reduction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Review pacing; adjust modality mix; consider taVNS addition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Non-Responder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No improvement in any domain after adequate trial with strict pacing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Follow FNON Non-Responder Pathway (Section 6)</w:t>
            </w:r>
          </w:p>
        </w:tc>
      </w:tr>
    </w:tbl>
    <w:p>
      <w:r>
        <w:rPr>
          <w:sz w:val="18"/>
        </w:rPr>
        <w:t>PATIENT CLASSIFICATION: □ Responder  □ Partial Responder  □ Non-Responder</w:t>
      </w:r>
    </w:p>
    <w:p/>
    <w:p>
      <w:r>
        <w:rPr>
          <w:b/>
          <w:color w:val="1B3A5C"/>
          <w:sz w:val="22"/>
        </w:rPr>
        <w:t>5. Likely Non-Responder Profiles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Profile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Why Limited Response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Alternative Strategy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Severe PEM triggered by tDCS sessions themselves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Session-induced exertion paradoxically worsens condition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Ultra-low dose CES only; consider discontinuation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Active viral reactivation episode during treatment block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Ongoing inflammatory activity confounds neural state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Pause; resume only after stable for 2+ weeks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Severe autonomic instability (POTS, syncope)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Cardiovascular instability during sessions; safety concern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Cardiologist/autonomic specialist clearance first; taVNS only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Psychiatric comorbidity dominating presentation (severe depression)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Depressive circuit may be primary target; Long COVID label may obscure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Treat depression; reassess Long COVID phenotype</w:t>
            </w:r>
          </w:p>
        </w:tc>
      </w:tr>
    </w:tbl>
    <w:p/>
    <w:p>
      <w:r>
        <w:rPr>
          <w:b/>
          <w:color w:val="1B3A5C"/>
          <w:sz w:val="22"/>
        </w:rPr>
        <w:t>6. SOZO Non-Responder Pathway (FNON Level 5)</w:t>
      </w:r>
    </w:p>
    <w:p>
      <w:r>
        <w:rPr>
          <w:sz w:val="18"/>
        </w:rPr>
        <w:t>If no meaningful improvement after 8–10 sessions, follow FNON Level 5 adjustment pathway: Reassess phenotype, review medication state, adjust montage, consider multi-modal pathway.</w:t>
      </w:r>
    </w:p>
    <w:p>
      <w:r>
        <w:rPr>
          <w:sz w:val="18"/>
        </w:rPr>
        <w:t>DO NOT escalate intensity beyond safety limits. Always follow SOZO FNON Protocol safety parameters.</w:t>
      </w:r>
    </w:p>
    <w:p/>
    <w:p>
      <w:r>
        <w:rPr>
          <w:b/>
          <w:color w:val="1B3A5C"/>
          <w:sz w:val="22"/>
        </w:rPr>
        <w:t>7. LDN/SSRI-tDCS Scheduling &amp; Documentation</w:t>
      </w:r>
    </w:p>
    <w:p>
      <w:r>
        <w:rPr>
          <w:sz w:val="18"/>
        </w:rPr>
        <w:t>tDCS effects are state-dependent. Low-dose naltrexone modulates microglial neuroinflammation; SSRIs address mood and autonomic components — both influence cortical excitability in Long COVID.</w:t>
      </w:r>
    </w:p>
    <w:p>
      <w:r>
        <w:rPr>
          <w:b/>
          <w:color w:val="2E75B6"/>
          <w:sz w:val="20"/>
        </w:rPr>
        <w:t>7A. Rested Day vs Post-Exertional State Comparison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Factor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Stable LDN/SSRI State (Default SOZO)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Post-Exertional / Viral Reactivation State (Defer)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Definition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tDCS on rested day during stable LDN/SSRI dosing without recent PEM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tDCS within 48h of significant exertion or during viral reactivation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Cognitive State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Stable brain fog level; consistent cognitive performance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PEM-triggered cognitive worsening masks tDCS benefit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Session Tolerance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Better stamina; task completion more likely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Severe fatigue; session may trigger further PEM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Comparison Validity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Valid within-block if pacing consistent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Invalid comparison; reschedule to rested day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Evidence Support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All Long COVID NIBS protocols require rest-day administration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Never assess during active PEM or viral episode</w:t>
            </w:r>
          </w:p>
        </w:tc>
      </w:tr>
    </w:tbl>
    <w:p/>
    <w:p>
      <w:r>
        <w:rPr>
          <w:b/>
          <w:color w:val="2E75B6"/>
          <w:sz w:val="20"/>
        </w:rPr>
        <w:t>7B. SOZO Scheduling Rules</w:t>
      </w:r>
    </w:p>
    <w:p>
      <w:r>
        <w:rPr>
          <w:sz w:val="18"/>
        </w:rPr>
        <w:t>SOZO Standard Rule: Assess ONLY on a rested day with no significant exertion in the preceding 24–48 hours. Post-exertional malaise is the most critical source of false classification in Long COVID.</w:t>
      </w:r>
    </w:p>
    <w:p/>
    <w:p>
      <w:r>
        <w:rPr>
          <w:b/>
          <w:color w:val="2E75B6"/>
          <w:sz w:val="20"/>
        </w:rPr>
        <w:t>7C. LDN/SSRI + tDCS Pairing by Long COVID Phenotype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Phenotype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tDCS Config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Concurrent Task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Outcome Measures</w:t>
            </w:r>
          </w:p>
        </w:tc>
      </w:tr>
      <w:tr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Brain Fog / Cognitive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L-DLPFC anodal 1–2mA (20 min)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Paced cognitive micro-tasks (brief WM)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MoCA, PASAT, DSQ-2 cognitive, PHQ-9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Fatigue-dominant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CES primary + DLPFC adjunct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Paced breathing + light cognitive task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FACIT-F, DSQ-2, SF-36, ISI</w:t>
            </w:r>
          </w:p>
        </w:tc>
      </w:tr>
      <w:tr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Autonomic/POTS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taVNS primary + DLPFC adjunct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Slow breathing HRV biofeedback tasks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NASA-LBT, HRV, FACIT-F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Mixed/Multi-system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Staged: CES → DLPFC → taVNS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Rotated micro-tasks with rest intervals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DSQ-2 total, SF-36, FACIT-F, MoCA</w:t>
            </w:r>
          </w:p>
        </w:tc>
      </w:tr>
    </w:tbl>
    <w:p/>
    <w:p>
      <w:r>
        <w:rPr>
          <w:b/>
          <w:color w:val="2E75B6"/>
          <w:sz w:val="20"/>
        </w:rPr>
        <w:t>7D. Long COVID Medication-tDCS Documentation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Documentation Item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Completed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N/A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LDN/SSRI name, dose, and duration at current dose recorded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Yes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PEM status and exertion level in last 48h documented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 Yes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Viral reactivation symptoms screened and absent before session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Yes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Session only proceeded on confirmed rested day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 Yes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Baseline assessment rested-day status and medication state recorded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Yes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Follow-up assessment on rested day in same medication state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 Yes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Any PEM triggered by sessions documented and protocol adjusted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Yes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Session start time consistent across block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 Yes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Outcomes interpreted with PEM and exertion context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Yes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</w:t>
            </w:r>
          </w:p>
        </w:tc>
      </w:tr>
    </w:tbl>
    <w:p/>
    <w:p>
      <w:r>
        <w:rPr>
          <w:b/>
          <w:color w:val="1B3A5C"/>
          <w:sz w:val="22"/>
        </w:rPr>
        <w:t>8. SOZO Responder Signature Data Collection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Domain</w:t>
            </w:r>
          </w:p>
        </w:tc>
        <w:tc>
          <w:tcPr>
            <w:tcW w:type="dxa" w:w="504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LDN/SSRI Name &amp; Dose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Duration at Current Dose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___ weeks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PEM Status in Last 48h?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None  □ Mild  □ Moderate/Severe — Defer session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Exertion Level in Last 24h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□ Rest  □ Light activity  □ Moderate (note type): ___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Viral Reactivation Signs?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None  □ Yes (fever, fatigue spike) — Defer session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Chosen State for Block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□ Rested, stable (default)  □ Other (document rationale)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Session Start Time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Keep consistent (morning preferred): ___:___ AM/PM</w:t>
            </w:r>
          </w:p>
        </w:tc>
      </w:tr>
    </w:tbl>
    <w:p/>
    <w:p>
      <w:r>
        <w:rPr>
          <w:b/>
          <w:color w:val="1B3A5C"/>
          <w:sz w:val="22"/>
        </w:rPr>
        <w:t>Regulator-Safe Language Guide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Appropriate to State</w:t>
            </w:r>
          </w:p>
        </w:tc>
        <w:tc>
          <w:tcPr>
            <w:tcW w:type="dxa" w:w="504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AVOID Stating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tDCS is an adjunctive symptom-management tool used within a pacing framework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tDCS cures Long COVID or restores pre-illness function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Effects target brain fog, fatigue, and autonomic regulation; strict pacing required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tDCS eliminates post-exertional malaise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Evidence is preliminary; this is an emerging application; individual response varies widely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tDCS is an established treatment for Long COVID</w:t>
            </w:r>
          </w:p>
        </w:tc>
      </w:tr>
    </w:tbl>
    <w:p/>
    <w:p>
      <w:r>
        <w:rPr>
          <w:b/>
          <w:color w:val="2E75B6"/>
          <w:sz w:val="20"/>
        </w:rPr>
        <w:t>Response Domain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Domain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Response Criteria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Met?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Cognitive (Brain Fog)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Improvement on MoCA, PASAT, or patient-reported cognitive function (DSQ-2 cognitive)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Y □ N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Fatigue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≥4 point improvement on FACIT-F or DSQ-2 fatigue subscale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□ Y □ N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Autonomic/HRV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Improved orthostatic tolerance, HRV, or POTS symptom reduction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Y □ N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Function/Quality of Life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Better daily activity tolerance; reduced PEM frequency; improved SF-36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□ Y □ N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r>
        <w:rPr>
          <w:b/>
          <w:color w:val="2E75B6"/>
          <w:sz w:val="20"/>
        </w:rPr>
        <w:t>Clinical Notes &amp; Rationale:</w:t>
      </w:r>
    </w:p>
    <w:p>
      <w:r>
        <w:rPr>
          <w:sz w:val="18"/>
        </w:rPr>
        <w:t>____________________________________________________________</w:t>
      </w:r>
    </w:p>
    <w:p>
      <w:r>
        <w:rPr>
          <w:sz w:val="18"/>
        </w:rPr>
        <w:t>____________________________________________________________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Signature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Date</w:t>
            </w:r>
          </w:p>
        </w:tc>
      </w:tr>
      <w:tr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Treating Clinician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</w:r>
          </w:p>
        </w:tc>
      </w:tr>
    </w:tbl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