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B3A5C"/>
      </w:pPr>
      <w:r>
        <w:rPr>
          <w:b/>
          <w:color w:val="FFFFFF"/>
          <w:sz w:val="26"/>
        </w:rPr>
        <w:t>SOZO BRAIN CENTER — PARTNERS TIER</w:t>
      </w:r>
    </w:p>
    <w:p>
      <w:pPr>
        <w:jc w:val="center"/>
        <w:shd w:val="clear" w:color="auto" w:fill="1B3A5C"/>
      </w:pPr>
      <w:r>
        <w:rPr>
          <w:b/>
          <w:color w:val="FFFFFF"/>
          <w:sz w:val="26"/>
        </w:rPr>
        <w:t>MS Responder Tracking &amp; Classification</w:t>
      </w:r>
    </w:p>
    <w:p>
      <w:pPr>
        <w:jc w:val="center"/>
        <w:shd w:val="clear" w:color="auto" w:fill="1B3A5C"/>
      </w:pPr>
      <w:r>
        <w:rPr>
          <w:b/>
          <w:color w:val="FFFFFF"/>
          <w:sz w:val="26"/>
        </w:rPr>
        <w:t>SOZO Response Assessment, DMT/Symptomatic-tDCS Documentation &amp; FNON Non-Responder Pathway</w:t>
      </w:r>
    </w:p>
    <w:p>
      <w:pPr>
        <w:jc w:val="center"/>
      </w:pPr>
      <w:r>
        <w:rPr>
          <w:b/>
          <w:i/>
          <w:color w:val="2E75B6"/>
          <w:sz w:val="18"/>
        </w:rPr>
        <w:t>FNON + Evidence-Based Assessment — Includes Brain Network Analysis</w:t>
      </w:r>
    </w:p>
    <w:p/>
    <w:p>
      <w:r>
        <w:rPr>
          <w:b/>
          <w:color w:val="2E75B6"/>
          <w:sz w:val="20"/>
        </w:rP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Patient Name / ID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Date of Birth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Phenotype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Relapsing-Remitting  □ Secondary Progressive  □ Cognitive  □ Fatigue-dominant  □ Spasticity-dominant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Symptom Severity / Stage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Condition Name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Multiple Sclerosis (MS)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Medication Class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DMTs/Symptomatic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Referring Clinician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Assessment Date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color w:val="1B3A5C"/>
          <w:sz w:val="22"/>
        </w:rPr>
        <w:t>1. SOZO Operational Response Definition</w:t>
      </w:r>
    </w:p>
    <w:p>
      <w:r>
        <w:rPr>
          <w:sz w:val="18"/>
        </w:rPr>
        <w:t>Define response at end of block (typically 10–20 sessions). Patient must meet criteria in at least one primary domain AND show no deterioration in others.</w:t>
      </w:r>
    </w:p>
    <w:p>
      <w:r>
        <w:rPr>
          <w:i/>
          <w:sz w:val="18"/>
        </w:rPr>
        <w:t>This avoids "false non-responder" labelling due to relapse-remission fluctuation and Uhthoff's phenomenon during heat exposure.</w:t>
      </w:r>
    </w:p>
    <w:p/>
    <w:p>
      <w:r>
        <w:rPr>
          <w:b/>
          <w:color w:val="1B3A5C"/>
          <w:sz w:val="22"/>
        </w:rPr>
        <w:t>2. Likely Responder Profiles</w:t>
      </w:r>
    </w:p>
    <w:p>
      <w:r>
        <w:rPr>
          <w:sz w:val="18"/>
        </w:rPr>
        <w:t>FNON-based responder profiling maps treatment targets to network hypotheses for optimised protocol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Phenotype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Best-Fit Patient Profile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Fatigue-dominant (DLPFC+CES)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MS fatigue as primary complaint; CEN hypoactivation; frontal fatigue circuit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L-DLPFC anodal + CES + paced cognitive tasks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Moderate (RCT support)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Cognitive MS (DLPFC)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Cognitive slowing, memory, processing speed; periventricular lesion burden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DLPFC tDCS + cognitive rehabilitation tasks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Moderate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Motor/Spasticity (M1)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Spasticity, weakness, gait impairment; corticospinal tract involvement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M1 anodal tDCS + physiotherapy tasks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Moderate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Relapsing-Remitting stable (multi-target)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RRMS in stable remission; multiple domain involvement; awaiting DMT effect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DLPFC + M1 tDCS + taVNS + task sequence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Moderate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Pain/Central Sensitisation (M1)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Central neuropathic pain; MS-related central sensitisation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M1 anodal + TPS FT9 + graded activity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Depression comorbid (DLPFC+taVNS)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MS + depression; limbic-PFC disruption; apathy + fatigue overlap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DLPFC + taVNS + behavioural activation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</w:tbl>
    <w:p/>
    <w:p>
      <w:r>
        <w:rPr>
          <w:b/>
          <w:color w:val="1B3A5C"/>
          <w:sz w:val="22"/>
        </w:rPr>
        <w:t>3. Predictors of Better Response</w:t>
      </w:r>
    </w:p>
    <w:p>
      <w:r>
        <w:rPr>
          <w:b/>
          <w:color w:val="2E75B6"/>
          <w:sz w:val="20"/>
        </w:rPr>
        <w:t>3A. Clinical Predictors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Predictor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Present?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Clinically stable remission (no relapse in preceding 3 months)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Active relapse changes cortical excitability; confounds tDCS response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DMT at stable regimen (not mid-switch or initiation)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Inflammatory fluctuation during DMT changes affects plasticity substrate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Capacity for morning session scheduling (avoid Uhthoff's/heat)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Heat-related deterioration can be minimised with morning sessions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Network hypothesis confirmed by 6-Network Assessment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FNON CEN/fatigue circuit and motor network mapping guides targeting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</w:tbl>
    <w:p/>
    <w:p>
      <w:r>
        <w:rPr>
          <w:b/>
          <w:color w:val="2E75B6"/>
          <w:sz w:val="20"/>
        </w:rPr>
        <w:t>3B. Protocol Predictors (Modifiable)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Target choice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DLPFC for fatigue/cognitive; M1 for motor/spasticity; CES for sleep/ANS regulation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Session timing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Morning sessions preferred; avoid afternoon heat exposure; cooled environment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Relapse monitoring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Suspend sessions during relapse; resume only when clinically stable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Network alignment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FNON CEN hypoactivation + motor network asymmetry guides montage selection</w:t>
            </w:r>
          </w:p>
        </w:tc>
      </w:tr>
    </w:tbl>
    <w:p/>
    <w:p>
      <w:r>
        <w:rPr>
          <w:b/>
          <w:color w:val="2E75B6"/>
          <w:sz w:val="20"/>
        </w:rPr>
        <w:t>3C. Measurement Predictors</w:t>
      </w:r>
    </w:p>
    <w:p>
      <w:r>
        <w:rPr>
          <w:i/>
          <w:sz w:val="18"/>
        </w:rPr>
        <w:t>WARNING: If baseline is assessed during remission and follow-up occurs during a relapse (or vice versa), or if heat exposure triggers Uhthoff's phenomenon before assessment, you can create a false responder or non-responder. Always document relapse/remission status, Uhthoff's exposure, and fatigue time-of-day at assessment.</w:t>
      </w:r>
    </w:p>
    <w:p/>
    <w:p>
      <w:r>
        <w:rPr>
          <w:b/>
          <w:color w:val="1B3A5C"/>
          <w:sz w:val="22"/>
        </w:rPr>
        <w:t>4. SOZO Response Classification</w:t>
      </w:r>
    </w:p>
    <w:p>
      <w:r>
        <w:rPr>
          <w:sz w:val="18"/>
        </w:rPr>
        <w:t>Use at Session 10 (or 8–10) and again at end of block: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Responder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Meaningful improvement in primary symptom domain + stable relapse status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Continue protocol; plan 3-monthly maintenance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Partial Responder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Fatigue or cognition improvement but limited motor/functional transfer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Adjust target; review session environment for heat control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Non-Responder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No improvement in any domain after adequate trial in remission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Follow FNON Non-Responder Pathway (Section 6)</w:t>
            </w:r>
          </w:p>
        </w:tc>
      </w:tr>
    </w:tbl>
    <w:p>
      <w:r>
        <w:rPr>
          <w:sz w:val="18"/>
        </w:rPr>
        <w:t>PATIENT CLASSIFICATION: □ Responder  □ Partial Responder  □ Non-Responder</w:t>
      </w:r>
    </w:p>
    <w:p/>
    <w:p>
      <w:r>
        <w:rPr>
          <w:b/>
          <w:color w:val="1B3A5C"/>
          <w:sz w:val="22"/>
        </w:rPr>
        <w:t>5. Likely Non-Responder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Why Limited Response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Alternative Strategy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Active relapse during treatment block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Acute inflammatory lesion activity dominates; tDCS effect obscured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Suspend; resume in remission; document relapse carefully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Progressive MS (SPMS/PPMS) with significant disability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Axonal loss limits cortical plasticity capacity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Adjust expectations; symptomatic focus; CES for fatigue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Severe Uhthoff's phenomenon limiting session tolerance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Heat-induced temporary worsening reduces task engagement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Air-conditioned sessions; cooling vest; very early morning scheduling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DMT mid-switch or significant immunological instability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Unpredictable inflammatory state confounds tDCS outcomes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Complete DMT transition; re-baseline at stable remission</w:t>
            </w:r>
          </w:p>
        </w:tc>
      </w:tr>
    </w:tbl>
    <w:p/>
    <w:p>
      <w:r>
        <w:rPr>
          <w:b/>
          <w:color w:val="1B3A5C"/>
          <w:sz w:val="22"/>
        </w:rPr>
        <w:t>6. SOZO Non-Responder Pathway (FNON Level 5)</w:t>
      </w:r>
    </w:p>
    <w:p>
      <w:r>
        <w:rPr>
          <w:sz w:val="18"/>
        </w:rPr>
        <w:t>If no meaningful improvement after 8–10 sessions, follow FNON Level 5 adjustment pathway: Reassess phenotype, review medication state, adjust montage, consider multi-modal pathway.</w:t>
      </w:r>
    </w:p>
    <w:p>
      <w:r>
        <w:rPr>
          <w:sz w:val="18"/>
        </w:rPr>
        <w:t>DO NOT escalate intensity beyond safety limits. Always follow SOZO FNON Protocol safety parameters.</w:t>
      </w:r>
    </w:p>
    <w:p/>
    <w:p>
      <w:r>
        <w:rPr>
          <w:b/>
          <w:color w:val="1B3A5C"/>
          <w:sz w:val="22"/>
        </w:rPr>
        <w:t>7. DMT/Symptomatic-tDCS Scheduling &amp; Documentation</w:t>
      </w:r>
    </w:p>
    <w:p>
      <w:r>
        <w:rPr>
          <w:sz w:val="18"/>
        </w:rPr>
        <w:t>tDCS effects are state-dependent. DMTs modulate inflammatory activity; symptomatic agents (e.g., fampridine, amantadine) interact with cortical excitability and fatigue mechanisms.</w:t>
      </w:r>
    </w:p>
    <w:p>
      <w:r>
        <w:rPr>
          <w:b/>
          <w:color w:val="2E75B6"/>
          <w:sz w:val="20"/>
        </w:rPr>
        <w:t>7A. Remission State vs Relapse/Post-Relapse State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Stable Remission + DMT (Default SOZO)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Relapse / Post-Relapse Recovery Phase (Avoid)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Definition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during clinically stable remission on established DMT regimen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during active relapse or within 4 weeks post-relapse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Cortical State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Stable excitability; consistent inflammatory and plasticity substrate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Active lesion formation; cortical excitability dysregulated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Task Participation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Better function and compliance during stable remission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Functional decline during relapse; poor task engagement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Comparison Validity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Valid within-block in remission; stable baseline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Cannot attribute change to tDCS during relapse; results invalid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Evidence Support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All MS tDCS trials conducted in stable patients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Contraindicated during active relapse; resume only in remission</w:t>
            </w:r>
          </w:p>
        </w:tc>
      </w:tr>
    </w:tbl>
    <w:p/>
    <w:p>
      <w:r>
        <w:rPr>
          <w:b/>
          <w:color w:val="2E75B6"/>
          <w:sz w:val="20"/>
        </w:rPr>
        <w:t>7B. SOZO Scheduling Rules</w:t>
      </w:r>
    </w:p>
    <w:p>
      <w:r>
        <w:rPr>
          <w:sz w:val="18"/>
        </w:rPr>
        <w:t>SOZO Standard Rule: Assess ONLY in clinically stable remission and keep this CONSISTENT across the block. Relapse vs remission state differences are the most critical source of false classification in MS.</w:t>
      </w:r>
    </w:p>
    <w:p/>
    <w:p>
      <w:r>
        <w:rPr>
          <w:b/>
          <w:color w:val="2E75B6"/>
          <w:sz w:val="20"/>
        </w:rPr>
        <w:t>7C. DMT/Symptomatic + tDCS Pairing by MS Phenotype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Phenotype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tDCS Config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Concurrent Task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Outcome Measures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Fatigue-dominant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L-DLPFC anodal + CES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Paced cognitive tasks with rest breaks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MFIS, FACIT-F, MSNQ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Cognitive MS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L-DLPFC anodal 2mA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SDMT-type processing tasks, WM training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PASAT, SDMT, MoCA, MSNQ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Motor/Spasticity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M1 anodal + contralesional cathodal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Physiotherapy exercises during tDCS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25FWT, 9HPT, BBS, MAS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Depression/Apathy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DLPFC + taVNS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Behavioural activation + pleasurable activities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PHQ-9, MFIS, MSNQ</w:t>
            </w:r>
          </w:p>
        </w:tc>
      </w:tr>
    </w:tbl>
    <w:p/>
    <w:p>
      <w:r>
        <w:rPr>
          <w:b/>
          <w:color w:val="2E75B6"/>
          <w:sz w:val="20"/>
        </w:rPr>
        <w:t>7D. MS Medication-tDCS Documentation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Documentation Item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Completed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N/A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DMT name, regimen, and stability confirmed at each session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Relapse/remission status documented (suspend if relapse)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Uhthoff's exposure before session checked and documented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Session environment temperature controlled and recorded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Baseline assessment relapse status and DMT state recorded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Follow-up assessment in clinically stable remission only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DMT changes or dose adjustments during block documented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Session start time (morning) consistent across block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Outcomes interpreted with relapse and heat-exposure context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</w:tbl>
    <w:p/>
    <w:p>
      <w:r>
        <w:rPr>
          <w:b/>
          <w:color w:val="1B3A5C"/>
          <w:sz w:val="22"/>
        </w:rPr>
        <w:t>8. SOZO Responder Signature Data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DMT Name &amp; Dosing Schedule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Symptomatic Agents (fampridine, amantadine, etc.)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Relapse Status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Stable remission  □ Post-relapse (date: ___)  □ Active relapse — DEFER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Last Relapse Date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Uhthoff's Exposure Before Session?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None  □ Yes — Type: ___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Session Environment Temperature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□ Cooled (&lt;22°C)  □ Ambient  □ Warm — Adjust if needed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Session Start Time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Keep consistent (morning preferred): ___:___ AM/PM</w:t>
            </w:r>
          </w:p>
        </w:tc>
      </w:tr>
    </w:tbl>
    <w:p/>
    <w:p>
      <w:r>
        <w:rPr>
          <w:b/>
          <w:color w:val="1B3A5C"/>
          <w:sz w:val="22"/>
        </w:rPr>
        <w:t>Regulator-Safe Language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Appropriate to State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AVOID Stating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is an adjunctive symptomatic intervention alongside established DMT therapy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modifies MS disease progression or reduces relapses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Effects target fatigue, cognition, and motor symptoms during stable remission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tDCS is a disease-modifying treatment for MS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Evidence is moderate for fatigue and cognitive applications in stable RRMS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replaces or reduces the need for DMT</w:t>
            </w:r>
          </w:p>
        </w:tc>
      </w:tr>
    </w:tbl>
    <w:p/>
    <w:p>
      <w:r>
        <w:rPr>
          <w:b/>
          <w:color w:val="2E75B6"/>
          <w:sz w:val="20"/>
        </w:rPr>
        <w:t>Response Domain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Response Criteria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Met?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Fatigue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≥4 point reduction on MFIS or clinically meaningful fatigue improvement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Cognition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Improvement on MSNQ, PASAT, SDMT, or MoCA executive items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Motor/Spasticity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Improved walking speed, reduced spasticity (MAS), better balance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Function/QoL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Improved EDSS-related daily function or MS QoL-54 score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color w:val="2E75B6"/>
          <w:sz w:val="20"/>
        </w:rPr>
        <w:t>Clinical Notes &amp; Rationale:</w:t>
      </w:r>
    </w:p>
    <w:p>
      <w:r>
        <w:rPr>
          <w:sz w:val="18"/>
        </w:rPr>
        <w:t>____________________________________________________________</w:t>
      </w:r>
    </w:p>
    <w:p>
      <w:r>
        <w:rPr>
          <w:sz w:val="18"/>
        </w:rPr>
        <w:t>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Treating Clinician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