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POST-STROKE REHABILITATION</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Post-Stroke Rehabilitation (Stroke).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Post-Stroke Rehabilitation (Stroke)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Stroke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Stroke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Stroke Rehab Status</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Level A/B evidence — established NIBS for motor rehabilitation</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paired with language therapy (aphasia); motor rehab adjunct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 — fatigue, depression, sleep component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Post-Stroke Rehabilitation is INVESTIGATIONAL at SOZO Brain Center. It is not CE-marked or FDA-approved for stroke rehabilitation.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Stroke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Post-Stroke Rehabilitation (Stroke).</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Stroke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stroke rehabilitation. Where capacity is reduced (aphasia, cognitive impairment), alternative consent pathways must be followed.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Stroke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Established NIBS; Level A/B evidence for motor rehabilitation post-stroke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paired VNS for aphasia and motor rehabilitation adjunct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post-stroke depression, fatigue, and sleep</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Stroke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 / caregiver-rated):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Arm / hand strength (affected side)</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Leg strength and mobility (affected side)</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Hand dexterity and fine motor control</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Walking ability (distance, speed, safety)</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Balance (standing and walking balance)</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Speech clarity and expression (if aphasia present)</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Swallowing function (dysphagia severity)</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Facial movement (if facial palsy present)</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Post-stroke fatigue</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Post-stroke depression</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Cognitive clarity (attention, memory, processing)</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Central post-stroke pain</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Visual field and spatial awareness</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Spatial neglect (if present)</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Independence in activities of daily living (ADL)</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Motor Upper Limb, Motor Lower Limb, Aphasia, Spatial Neglect, Cognitive, Spasticity-Dominant, Dysphagia, Post-Stroke Depression, or Central Pain.</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Stroke: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Upper Limb</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Contralateral SMN disruption (M1 lesion or tract damage); ipsilateral SMN compensatory recruitment</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Lower Limb</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SMN-cerebellar-SMA pathway disruption; gait initiation and balance network impairment</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Aphasia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Left hemisphere language network damage; Broca's / Wernicke's area involvement; CEN-language disconnection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Spatial Neglect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Right parietal-ATTENTION network damage; visuospatial network disruption; SN lateralisation failure</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and ATTENTION network damage; post-stroke cognitive impairment; DMN disruption</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Spasticity-Dominant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 hyperexcitability (inhibitory circuit damage); upper motor neuron syndrome with reflex arc disinhibition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Dysphagia</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Bilateral cortical swallowing network (opercular, SMA) disruption; unilateral impairment often recovers spontaneously</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Post-Stroke Depression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network disruption + SN dysregulation; CEN hypofunction; emotional processing impairment</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(Stroke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anticoagulant / antithrombotic medication (name, dose, timing of last dose, INR if on warfarin); note current functional status vs. last session</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(anticoagulant adherence, timing of last dose, any changes in neurological status since last session)</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Contralateral M1 anode (C3 or C4)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upper limb</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Repetitive task-specific upper limb training (grasp, reach, functional tasks)</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Contralateral M1 + SMA (C3/C4 + Cz)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lower limb / gait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Treadmill gait training, stepping exercises, physiotherapy-guided repetition</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F3/T3 (left hemisphere language)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Aphasia</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Speech-language therapy sessions (picture naming, repetition) — paired VNS protocol preferred</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P3/P4 (parietal attention)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Neglect / spatial awareness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Visual scanning training, prism adaptation, visuospatial rehabilitation tasks</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 mood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rehabilitation tasks (attention, memory), structured behavioural activation</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Fugl-Meyer or equivalent motor assessment + PRS motor items; improved MAS</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Gait / Balance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Improved 10m walk test, TUG, and/or Berg Balance Scale + PRS walking and balance items</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Language / Communication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aphasia battery (WAB or equivalent) and/or PRS speech items; functional communication gain</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ADL / Mood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Barthel ADL score, improved post-stroke depression (PHQ-9 equivalent), and PRS secondary domain improvement</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Post-stroke recovery includes spontaneous neurological recovery (Brunnstrom stages) that may confound treatment response attribution. Standardise assessment conditions between baseline and follow-up, documenting stroke chronicity and any intercurrent events. Clearly distinguish NIBS-attributable improvement from spontaneous recovery by anchoring response criteria to the chronic phase (&gt;3 months post-stroke).</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ischaemic or haemorrhagic stroke (CT/MRI confirmed; specialist-diagnosed)</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Chronic stroke phase (≥3 months post-event; beyond peak spontaneous recovery window) or subacute with specialist approval</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 (with caregiver if needed)</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(patient with capacity, or guardian/representative for reduced capacity)</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functional outcome measures (Barthel or MAS)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 or in vicinity of lesion</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 (within 6 months of planned stimulation site)</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haemorrhage or unstable lesion</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 and no available legal representative</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Post-stroke 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cognitive impairment limiting cooperation and outcome measurement</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cardiovascular status or recent cardiac event</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Spasticity so severe it prevents safe device placement</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 TPS requires haematology clearance; check INR before each TPS session</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aphasia limiting consent capacity — use supported consent process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post-stroke depression with suicidal ideation — psychiatric stabilisation first</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Stroke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Upper Limb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contralateral M1 anode (C3/C4) + ipsilateral M1 inhibition + TPS perilesional + peripheral (affected hand)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Motor Lower Limb</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 SMA anode + TPS cranial + peripheral (soles, affected leg)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Aphasia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F3/T3 left hemisphere anode + TPS left frontal + temporal + taVNS (paired language therapy protocol)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Spatial Neglect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P4 inhibition (right parietal up) + P3 facilitation + TPS right parietal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P3/P4 anode + TPS frontal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Spasticity-Dominant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contralateral M1 cathode (inhibitory, affected side) + TPS cranial + peripheral spastic muscles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Dysphagia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bilateral motor cortex (swallowing area, C3/C4 up) + TPS cranial bilateral + taVNS (paired swallowing therapy)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Post-Stroke Depression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F4 cathode (L-DLPFC up) + TPS frontal + taVNS primary + CES daily</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