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B3A5C"/>
          <w:sz w:val="36"/>
        </w:rPr>
        <w:t>SOZO BRAIN CENTER</w:t>
      </w:r>
    </w:p>
    <w:p>
      <w:pPr>
        <w:spacing w:after="240"/>
        <w:jc w:val="center"/>
      </w:pPr>
      <w:r>
        <w:rPr>
          <w:rFonts w:ascii="Calibri" w:hAnsi="Calibri"/>
          <w:i/>
          <w:color w:val="2E75B6"/>
          <w:sz w:val="22"/>
        </w:rPr>
        <w:t>Evidence-Based Neuromodulation</w:t>
      </w:r>
    </w:p>
    <w:p>
      <w:pPr>
        <w:pBdr>
          <w:bottom w:val="single" w:sz="6" w:space="1" w:color="2E75B6"/>
        </w:pBdr>
        <w:spacing w:after="120"/>
      </w:pPr>
    </w:p>
    <w:p>
      <w:pPr>
        <w:spacing w:before="240" w:after="80"/>
        <w:jc w:val="center"/>
      </w:pPr>
      <w:r>
        <w:rPr>
          <w:rFonts w:ascii="Calibri" w:hAnsi="Calibri"/>
          <w:b/>
          <w:color w:val="1B3A5C"/>
          <w:sz w:val="32"/>
        </w:rPr>
        <w:t>PARKINSON'S DISEASE</w:t>
      </w:r>
    </w:p>
    <w:p>
      <w:pPr>
        <w:spacing w:after="160"/>
        <w:jc w:val="center"/>
      </w:pPr>
      <w:r>
        <w:rPr>
          <w:rFonts w:ascii="Calibri" w:hAnsi="Calibri"/>
          <w:b/>
          <w:color w:val="2E75B6"/>
          <w:sz w:val="28"/>
        </w:rPr>
        <w:t>Psychological Intake &amp; PRS Baseline — Parkinson's Disease</w:t>
      </w:r>
    </w:p>
    <w:p>
      <w:pPr>
        <w:jc w:val="center"/>
      </w:pPr>
      <w:r>
        <w:rPr>
          <w:rFonts w:ascii="Calibri" w:hAnsi="Calibri"/>
          <w:b/>
          <w:color w:val="CC0000"/>
          <w:sz w:val="22"/>
        </w:rPr>
        <w:t>FELLOW TIER</w:t>
      </w:r>
    </w:p>
    <w:p>
      <w:pPr>
        <w:spacing w:after="160"/>
        <w:jc w:val="center"/>
      </w:pPr>
      <w:r>
        <w:rPr>
          <w:rFonts w:ascii="Calibri" w:hAnsi="Calibri"/>
          <w:i/>
          <w:color w:val="2E75B6"/>
          <w:sz w:val="20"/>
        </w:rPr>
        <w:t>For use by SOZO Fellow clinicians under Doctor supervision</w:t>
      </w:r>
    </w:p>
    <w:p>
      <w:pPr>
        <w:jc w:val="center"/>
      </w:pPr>
      <w:r>
        <w:rPr>
          <w:rFonts w:ascii="Calibri" w:hAnsi="Calibri"/>
          <w:color w:val="666666"/>
          <w:sz w:val="18"/>
        </w:rPr>
        <w:t>Version 1.0  |  April 2026</w:t>
      </w:r>
    </w:p>
    <w:p>
      <w:pPr>
        <w:spacing w:after="320"/>
        <w:jc w:val="center"/>
      </w:pPr>
      <w:r>
        <w:rPr>
          <w:rFonts w:ascii="Calibri" w:hAnsi="Calibri"/>
          <w:b/>
          <w:color w:val="CC0000"/>
          <w:sz w:val="18"/>
        </w:rPr>
        <w:t>CONFIDENTIAL</w:t>
      </w:r>
    </w:p>
    <w:p>
      <w:pPr>
        <w:pBdr>
          <w:bottom w:val="single" w:sz="6" w:space="1" w:color="996600"/>
        </w:pBdr>
        <w:spacing w:after="120"/>
      </w:pPr>
    </w:p>
    <w:p/>
    <w:p>
      <w:pPr>
        <w:spacing w:before="240" w:after="80"/>
      </w:pPr>
      <w:r>
        <w:rPr>
          <w:rFonts w:ascii="Calibri" w:hAnsi="Calibri"/>
          <w:b/>
          <w:color w:val="1B3A5C"/>
          <w:sz w:val="28"/>
        </w:rPr>
        <w:t>Document Control &amp; Clinical Responsibility</w:t>
      </w:r>
    </w:p>
    <w:p>
      <w:pPr>
        <w:pBdr>
          <w:bottom w:val="single" w:sz="6" w:space="1" w:color="2E75B6"/>
        </w:pBdr>
        <w:spacing w:after="120"/>
      </w:pPr>
    </w:p>
    <w:p>
      <w:pPr>
        <w:spacing w:before="40" w:after="40"/>
      </w:pPr>
      <w:r>
        <w:rPr>
          <w:rFonts w:ascii="Calibri" w:hAnsi="Calibri"/>
          <w:color w:val="000000"/>
          <w:sz w:val="22"/>
        </w:rPr>
        <w:t>Organization: SOZO Brain Center. All protocols are for authorized SOZO personnel only. No Fellow or Clinical Assistant may independently modify treatment protocols without Doctor authorization.</w:t>
      </w:r>
    </w:p>
    <w:p>
      <w:pPr>
        <w:spacing w:before="40" w:after="40"/>
      </w:pPr>
      <w:r>
        <w:rPr>
          <w:rFonts w:ascii="Calibri" w:hAnsi="Calibri"/>
          <w:color w:val="000000"/>
          <w:sz w:val="22"/>
        </w:rPr>
        <w:t>Organization: SOZO Brain Center</w:t>
      </w:r>
    </w:p>
    <w:p>
      <w:pPr>
        <w:spacing w:before="40" w:after="40"/>
      </w:pPr>
      <w:r>
        <w:rPr>
          <w:rFonts w:ascii="Calibri" w:hAnsi="Calibri"/>
          <w:color w:val="000000"/>
          <w:sz w:val="22"/>
        </w:rPr>
        <w:t>Condition: Parkinson's Disease (G20)</w:t>
      </w:r>
    </w:p>
    <w:p>
      <w:pPr>
        <w:spacing w:before="40" w:after="40"/>
      </w:pPr>
      <w:r>
        <w:rPr>
          <w:rFonts w:ascii="Calibri" w:hAnsi="Calibri"/>
          <w:color w:val="000000"/>
          <w:sz w:val="22"/>
        </w:rPr>
        <w:t>Version: 1.0</w:t>
      </w:r>
    </w:p>
    <w:p>
      <w:pPr>
        <w:spacing w:before="40" w:after="40"/>
      </w:pPr>
      <w:r>
        <w:rPr>
          <w:rFonts w:ascii="Calibri" w:hAnsi="Calibri"/>
          <w:color w:val="000000"/>
          <w:sz w:val="22"/>
        </w:rPr>
        <w:t>Date: April 2026</w:t>
      </w:r>
    </w:p>
    <w:p>
      <w:pPr>
        <w:spacing w:before="40" w:after="40"/>
      </w:pPr>
      <w:r>
        <w:rPr>
          <w:rFonts w:ascii="Calibri" w:hAnsi="Calibri"/>
          <w:color w:val="000000"/>
          <w:sz w:val="22"/>
        </w:rPr>
        <w:t>Tier: FELLOW</w:t>
      </w:r>
    </w:p>
    <w:p>
      <w:pPr>
        <w:spacing w:before="40" w:after="40"/>
      </w:pPr>
      <w:r>
        <w:rPr>
          <w:rFonts w:ascii="Calibri" w:hAnsi="Calibri"/>
          <w:color w:val="000000"/>
          <w:sz w:val="22"/>
        </w:rPr>
        <w:t>For use by SOZO Fellow clinicians under Doctor supervision</w:t>
      </w:r>
    </w:p>
    <w:p>
      <w:pPr>
        <w:spacing w:before="40" w:after="40"/>
      </w:pPr>
      <w:r>
        <w:rPr>
          <w:rFonts w:ascii="Calibri" w:hAnsi="Calibri"/>
          <w:color w:val="000000"/>
          <w:sz w:val="22"/>
        </w:rPr>
        <w:t>© 2026 SOZO Brain Center. All rights reserved. CONFIDENTIAL.</w:t>
      </w:r>
    </w:p>
    <w:p>
      <w:pPr>
        <w:spacing w:before="40" w:after="40"/>
      </w:pPr>
      <w:r>
        <w:rPr>
          <w:rFonts w:ascii="Calibri" w:hAnsi="Calibri"/>
          <w:b/>
          <w:color w:val="1B3A5C"/>
          <w:sz w:val="22"/>
        </w:rPr>
        <w:t>GOVERNANCE RULE: This document is for authorized SOZO personnel only. No Fellow or Clinical Assistant may independently modify treatment protocols without Doctor authorization.</w:t>
      </w:r>
    </w:p>
    <w:p>
      <w:pPr>
        <w:spacing w:before="40" w:after="40"/>
      </w:pPr>
      <w:r>
        <w:rPr>
          <w:rFonts w:ascii="Calibri" w:hAnsi="Calibri"/>
          <w:color w:val="000000"/>
          <w:sz w:val="22"/>
        </w:rPr>
        <w:t>Parkinson's Disease</w:t>
      </w:r>
    </w:p>
    <w:p>
      <w:pPr>
        <w:spacing w:before="40" w:after="40"/>
      </w:pPr>
      <w:r>
        <w:rPr>
          <w:rFonts w:ascii="Calibri" w:hAnsi="Calibri"/>
          <w:color w:val="000000"/>
          <w:sz w:val="22"/>
        </w:rPr>
        <w:t>G20</w:t>
      </w:r>
    </w:p>
    <w:p>
      <w:pPr>
        <w:spacing w:before="40" w:after="40"/>
      </w:pPr>
      <w:r>
        <w:rPr>
          <w:rFonts w:ascii="Calibri" w:hAnsi="Calibri"/>
          <w:color w:val="000000"/>
          <w:sz w:val="22"/>
        </w:rPr>
        <w:t>1.0</w:t>
      </w:r>
    </w:p>
    <w:p>
      <w:pPr>
        <w:spacing w:after="120"/>
      </w:pPr>
    </w:p>
    <w:p>
      <w:pPr>
        <w:spacing w:before="240" w:after="80"/>
      </w:pPr>
      <w:r>
        <w:rPr>
          <w:rFonts w:ascii="Calibri" w:hAnsi="Calibri"/>
          <w:b/>
          <w:color w:val="1B3A5C"/>
          <w:sz w:val="28"/>
        </w:rPr>
        <w:t>Patient Information</w:t>
      </w:r>
    </w:p>
    <w:p>
      <w:pPr>
        <w:pBdr>
          <w:bottom w:val="single" w:sz="6" w:space="1" w:color="2E75B6"/>
        </w:pBdr>
        <w:spacing w:after="120"/>
      </w:pPr>
    </w:p>
    <w:p>
      <w:pPr>
        <w:spacing w:before="40" w:after="40"/>
      </w:pPr>
      <w:r>
        <w:rPr>
          <w:rFonts w:ascii="Calibri" w:hAnsi="Calibri"/>
          <w:color w:val="000000"/>
          <w:sz w:val="22"/>
        </w:rPr>
        <w:t>Record patient demographics including full name, date of birth, sex, handedness, referral source, referring clinician, date of intake, and relevant medical history.</w:t>
      </w:r>
    </w:p>
    <w:p>
      <w:pPr>
        <w:spacing w:after="120"/>
      </w:pPr>
    </w:p>
    <w:p>
      <w:pPr>
        <w:spacing w:before="240" w:after="80"/>
      </w:pPr>
      <w:r>
        <w:rPr>
          <w:rFonts w:ascii="Calibri" w:hAnsi="Calibri"/>
          <w:b/>
          <w:color w:val="1B3A5C"/>
          <w:sz w:val="28"/>
        </w:rPr>
        <w:t>Chief Complaints</w:t>
      </w:r>
    </w:p>
    <w:p>
      <w:pPr>
        <w:pBdr>
          <w:bottom w:val="single" w:sz="6" w:space="1" w:color="2E75B6"/>
        </w:pBdr>
        <w:spacing w:after="120"/>
      </w:pPr>
    </w:p>
    <w:p>
      <w:pPr>
        <w:spacing w:before="40" w:after="40"/>
      </w:pPr>
      <w:r>
        <w:rPr>
          <w:rFonts w:ascii="Calibri" w:hAnsi="Calibri"/>
          <w:color w:val="000000"/>
          <w:sz w:val="22"/>
        </w:rPr>
        <w:t>Record patient-reported chief complaints. For each complaint, capture a severity rating on a 0-10 scale (0 = absent, 10 = worst imaginable). Document onset, duration, and any exacerbating or relieving factors.</w:t>
      </w:r>
    </w:p>
    <w:p>
      <w:pPr>
        <w:spacing w:after="120"/>
      </w:pPr>
    </w:p>
    <w:p>
      <w:pPr>
        <w:spacing w:before="240" w:after="80"/>
      </w:pPr>
      <w:r>
        <w:rPr>
          <w:rFonts w:ascii="Calibri" w:hAnsi="Calibri"/>
          <w:b/>
          <w:color w:val="1B3A5C"/>
          <w:sz w:val="28"/>
        </w:rPr>
        <w:t>Psychiatric History</w:t>
      </w:r>
    </w:p>
    <w:p>
      <w:pPr>
        <w:pBdr>
          <w:bottom w:val="single" w:sz="6" w:space="1" w:color="2E75B6"/>
        </w:pBdr>
        <w:spacing w:after="120"/>
      </w:pPr>
    </w:p>
    <w:p>
      <w:pPr>
        <w:spacing w:before="40" w:after="40"/>
      </w:pPr>
      <w:r>
        <w:rPr>
          <w:rFonts w:ascii="Calibri" w:hAnsi="Calibri"/>
          <w:color w:val="000000"/>
          <w:sz w:val="22"/>
        </w:rPr>
        <w:t>Screen for suicidal ideation at this stage. If active, STOP intake and escalate immediately. Record prior psychiatric diagnoses, hospitalisations, medication trials (current and past), psychotherapy history, substance use, and family psychiatric history.</w:t>
      </w:r>
    </w:p>
    <w:p>
      <w:pPr>
        <w:spacing w:after="120"/>
      </w:pPr>
    </w:p>
    <w:p>
      <w:pPr>
        <w:spacing w:before="240" w:after="80"/>
      </w:pPr>
      <w:r>
        <w:rPr>
          <w:rFonts w:ascii="Calibri" w:hAnsi="Calibri"/>
          <w:b/>
          <w:color w:val="1B3A5C"/>
          <w:sz w:val="28"/>
        </w:rPr>
        <w:t>SOZO PRS Baseline</w:t>
      </w:r>
    </w:p>
    <w:p>
      <w:pPr>
        <w:pBdr>
          <w:bottom w:val="single" w:sz="6" w:space="1" w:color="2E75B6"/>
        </w:pBdr>
        <w:spacing w:after="120"/>
      </w:pPr>
    </w:p>
    <w:p>
      <w:pPr>
        <w:spacing w:before="40" w:after="40"/>
      </w:pPr>
      <w:r>
        <w:rPr>
          <w:rFonts w:ascii="Calibri" w:hAnsi="Calibri"/>
          <w:color w:val="000000"/>
          <w:sz w:val="22"/>
        </w:rPr>
        <w:t>SOZO Patient-Reported Symptom (PRS) Baseline. Rate each core symptom on a 0-10 scale (0 = absent, 10 = worst imaginable). This baseline is used to calculate treatment response at Week 4 and Week 8-10 follow-up assessments.</w:t>
      </w:r>
    </w:p>
    <w:p>
      <w:pPr>
        <w:spacing w:after="120"/>
      </w:pPr>
    </w:p>
    <w:p>
      <w:pPr>
        <w:spacing w:before="240" w:after="80"/>
      </w:pPr>
      <w:r>
        <w:rPr>
          <w:rFonts w:ascii="Calibri" w:hAnsi="Calibri"/>
          <w:b/>
          <w:color w:val="1B3A5C"/>
          <w:sz w:val="28"/>
        </w:rPr>
        <w:t>Assessment Tools &amp; Outcome Measures</w:t>
      </w:r>
    </w:p>
    <w:p>
      <w:pPr>
        <w:pBdr>
          <w:bottom w:val="single" w:sz="6" w:space="1" w:color="2E75B6"/>
        </w:pBdr>
        <w:spacing w:after="120"/>
      </w:pP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1805"/>
            <w:shd w:val="clear" w:color="auto" w:fill="1B3A5C"/>
            <w:vAlign w:val="center"/>
          </w:tcPr>
          <w:p>
            <w:pPr>
              <w:spacing w:before="60" w:after="60"/>
              <w:jc w:val="left"/>
            </w:pPr>
            <w:r>
              <w:rPr>
                <w:rFonts w:ascii="Calibri" w:hAnsi="Calibri"/>
                <w:b/>
                <w:color w:val="FFFFFF"/>
                <w:sz w:val="20"/>
              </w:rPr>
              <w:t>Scale</w:t>
            </w:r>
          </w:p>
        </w:tc>
        <w:tc>
          <w:tcPr>
            <w:tcW w:type="dxa" w:w="1805"/>
            <w:shd w:val="clear" w:color="auto" w:fill="1B3A5C"/>
            <w:vAlign w:val="center"/>
          </w:tcPr>
          <w:p>
            <w:pPr>
              <w:spacing w:before="60" w:after="60"/>
              <w:jc w:val="left"/>
            </w:pPr>
            <w:r>
              <w:rPr>
                <w:rFonts w:ascii="Calibri" w:hAnsi="Calibri"/>
                <w:b/>
                <w:color w:val="FFFFFF"/>
                <w:sz w:val="20"/>
              </w:rPr>
              <w:t>Full Name</w:t>
            </w:r>
          </w:p>
        </w:tc>
        <w:tc>
          <w:tcPr>
            <w:tcW w:type="dxa" w:w="1805"/>
            <w:shd w:val="clear" w:color="auto" w:fill="1B3A5C"/>
            <w:vAlign w:val="center"/>
          </w:tcPr>
          <w:p>
            <w:pPr>
              <w:spacing w:before="60" w:after="60"/>
              <w:jc w:val="left"/>
            </w:pPr>
            <w:r>
              <w:rPr>
                <w:rFonts w:ascii="Calibri" w:hAnsi="Calibri"/>
                <w:b/>
                <w:color w:val="FFFFFF"/>
                <w:sz w:val="20"/>
              </w:rPr>
              <w:t>Domains</w:t>
            </w:r>
          </w:p>
        </w:tc>
        <w:tc>
          <w:tcPr>
            <w:tcW w:type="dxa" w:w="1805"/>
            <w:shd w:val="clear" w:color="auto" w:fill="1B3A5C"/>
            <w:vAlign w:val="center"/>
          </w:tcPr>
          <w:p>
            <w:pPr>
              <w:spacing w:before="60" w:after="60"/>
              <w:jc w:val="left"/>
            </w:pPr>
            <w:r>
              <w:rPr>
                <w:rFonts w:ascii="Calibri" w:hAnsi="Calibri"/>
                <w:b/>
                <w:color w:val="FFFFFF"/>
                <w:sz w:val="20"/>
              </w:rPr>
              <w:t>Timing</w:t>
            </w:r>
          </w:p>
        </w:tc>
        <w:tc>
          <w:tcPr>
            <w:tcW w:type="dxa" w:w="1805"/>
            <w:shd w:val="clear" w:color="auto" w:fill="1B3A5C"/>
            <w:vAlign w:val="center"/>
          </w:tcPr>
          <w:p>
            <w:pPr>
              <w:spacing w:before="60" w:after="60"/>
              <w:jc w:val="left"/>
            </w:pPr>
            <w:r>
              <w:rPr>
                <w:rFonts w:ascii="Calibri" w:hAnsi="Calibri"/>
                <w:b/>
                <w:color w:val="FFFFFF"/>
                <w:sz w:val="20"/>
              </w:rPr>
              <w:t>Evidence PMID</w:t>
            </w:r>
          </w:p>
        </w:tc>
      </w:tr>
      <w:tr>
        <w:tc>
          <w:tcPr>
            <w:tcW w:type="dxa" w:w="1805"/>
            <w:shd w:val="clear" w:color="auto" w:fill="F2F2F2"/>
          </w:tcPr>
          <w:p>
            <w:pPr>
              <w:spacing w:before="40" w:after="40"/>
            </w:pPr>
            <w:r>
              <w:rPr>
                <w:rFonts w:ascii="Calibri" w:hAnsi="Calibri"/>
                <w:sz w:val="20"/>
              </w:rPr>
              <w:t>updrs</w:t>
            </w:r>
          </w:p>
        </w:tc>
        <w:tc>
          <w:tcPr>
            <w:tcW w:type="dxa" w:w="1805"/>
            <w:shd w:val="clear" w:color="auto" w:fill="F2F2F2"/>
          </w:tcPr>
          <w:p>
            <w:pPr>
              <w:spacing w:before="40" w:after="40"/>
            </w:pPr>
            <w:r>
              <w:rPr>
                <w:rFonts w:ascii="Calibri" w:hAnsi="Calibri"/>
                <w:sz w:val="20"/>
              </w:rPr>
              <w:t>updrs</w:t>
            </w:r>
          </w:p>
        </w:tc>
        <w:tc>
          <w:tcPr>
            <w:tcW w:type="dxa" w:w="1805"/>
            <w:shd w:val="clear" w:color="auto" w:fill="F2F2F2"/>
          </w:tcPr>
          <w:p>
            <w:pPr>
              <w:spacing w:before="40" w:after="40"/>
            </w:pPr>
            <w:r>
              <w:rPr>
                <w:rFonts w:ascii="Calibri" w:hAnsi="Calibri"/>
                <w:sz w:val="20"/>
              </w:rPr>
            </w:r>
          </w:p>
        </w:tc>
        <w:tc>
          <w:tcPr>
            <w:tcW w:type="dxa" w:w="1805"/>
            <w:shd w:val="clear" w:color="auto" w:fill="F2F2F2"/>
          </w:tcPr>
          <w:p>
            <w:pPr>
              <w:spacing w:before="40" w:after="40"/>
            </w:pPr>
            <w:r>
              <w:rPr>
                <w:rFonts w:ascii="Calibri" w:hAnsi="Calibri"/>
                <w:sz w:val="20"/>
              </w:rPr>
              <w:t>baseline</w:t>
            </w:r>
          </w:p>
        </w:tc>
        <w:tc>
          <w:tcPr>
            <w:tcW w:type="dxa" w:w="1805"/>
            <w:shd w:val="clear" w:color="auto" w:fill="F2F2F2"/>
          </w:tcPr>
          <w:p>
            <w:pPr>
              <w:spacing w:before="40" w:after="40"/>
            </w:pPr>
            <w:r>
              <w:rPr>
                <w:rFonts w:ascii="Calibri" w:hAnsi="Calibri"/>
                <w:sz w:val="20"/>
              </w:rPr>
            </w:r>
          </w:p>
        </w:tc>
      </w:tr>
      <w:tr>
        <w:tc>
          <w:tcPr>
            <w:tcW w:type="dxa" w:w="1805"/>
            <w:shd w:val="clear" w:color="auto" w:fill="FFFFFF"/>
          </w:tcPr>
          <w:p>
            <w:pPr>
              <w:spacing w:before="40" w:after="40"/>
            </w:pPr>
            <w:r>
              <w:rPr>
                <w:rFonts w:ascii="Calibri" w:hAnsi="Calibri"/>
                <w:sz w:val="20"/>
              </w:rPr>
              <w:t>moca</w:t>
            </w:r>
          </w:p>
        </w:tc>
        <w:tc>
          <w:tcPr>
            <w:tcW w:type="dxa" w:w="1805"/>
            <w:shd w:val="clear" w:color="auto" w:fill="FFFFFF"/>
          </w:tcPr>
          <w:p>
            <w:pPr>
              <w:spacing w:before="40" w:after="40"/>
            </w:pPr>
            <w:r>
              <w:rPr>
                <w:rFonts w:ascii="Calibri" w:hAnsi="Calibri"/>
                <w:sz w:val="20"/>
              </w:rPr>
              <w:t>moca</w:t>
            </w:r>
          </w:p>
        </w:tc>
        <w:tc>
          <w:tcPr>
            <w:tcW w:type="dxa" w:w="1805"/>
            <w:shd w:val="clear" w:color="auto" w:fill="FFFFFF"/>
          </w:tcPr>
          <w:p>
            <w:pPr>
              <w:spacing w:before="40" w:after="40"/>
            </w:pPr>
            <w:r>
              <w:rPr>
                <w:rFonts w:ascii="Calibri" w:hAnsi="Calibri"/>
                <w:sz w:val="20"/>
              </w:rPr>
            </w:r>
          </w:p>
        </w:tc>
        <w:tc>
          <w:tcPr>
            <w:tcW w:type="dxa" w:w="1805"/>
            <w:shd w:val="clear" w:color="auto" w:fill="FFFFFF"/>
          </w:tcPr>
          <w:p>
            <w:pPr>
              <w:spacing w:before="40" w:after="40"/>
            </w:pPr>
            <w:r>
              <w:rPr>
                <w:rFonts w:ascii="Calibri" w:hAnsi="Calibri"/>
                <w:sz w:val="20"/>
              </w:rPr>
              <w:t>baseline</w:t>
            </w:r>
          </w:p>
        </w:tc>
        <w:tc>
          <w:tcPr>
            <w:tcW w:type="dxa" w:w="1805"/>
            <w:shd w:val="clear" w:color="auto" w:fill="FFFFFF"/>
          </w:tcPr>
          <w:p>
            <w:pPr>
              <w:spacing w:before="40" w:after="40"/>
            </w:pPr>
            <w:r>
              <w:rPr>
                <w:rFonts w:ascii="Calibri" w:hAnsi="Calibri"/>
                <w:sz w:val="20"/>
              </w:rPr>
            </w:r>
          </w:p>
        </w:tc>
      </w:tr>
      <w:tr>
        <w:tc>
          <w:tcPr>
            <w:tcW w:type="dxa" w:w="1805"/>
            <w:shd w:val="clear" w:color="auto" w:fill="F2F2F2"/>
          </w:tcPr>
          <w:p>
            <w:pPr>
              <w:spacing w:before="40" w:after="40"/>
            </w:pPr>
            <w:r>
              <w:rPr>
                <w:rFonts w:ascii="Calibri" w:hAnsi="Calibri"/>
                <w:sz w:val="20"/>
              </w:rPr>
              <w:t>phq9</w:t>
            </w:r>
          </w:p>
        </w:tc>
        <w:tc>
          <w:tcPr>
            <w:tcW w:type="dxa" w:w="1805"/>
            <w:shd w:val="clear" w:color="auto" w:fill="F2F2F2"/>
          </w:tcPr>
          <w:p>
            <w:pPr>
              <w:spacing w:before="40" w:after="40"/>
            </w:pPr>
            <w:r>
              <w:rPr>
                <w:rFonts w:ascii="Calibri" w:hAnsi="Calibri"/>
                <w:sz w:val="20"/>
              </w:rPr>
              <w:t>phq9</w:t>
            </w:r>
          </w:p>
        </w:tc>
        <w:tc>
          <w:tcPr>
            <w:tcW w:type="dxa" w:w="1805"/>
            <w:shd w:val="clear" w:color="auto" w:fill="F2F2F2"/>
          </w:tcPr>
          <w:p>
            <w:pPr>
              <w:spacing w:before="40" w:after="40"/>
            </w:pPr>
            <w:r>
              <w:rPr>
                <w:rFonts w:ascii="Calibri" w:hAnsi="Calibri"/>
                <w:sz w:val="20"/>
              </w:rPr>
            </w:r>
          </w:p>
        </w:tc>
        <w:tc>
          <w:tcPr>
            <w:tcW w:type="dxa" w:w="1805"/>
            <w:shd w:val="clear" w:color="auto" w:fill="F2F2F2"/>
          </w:tcPr>
          <w:p>
            <w:pPr>
              <w:spacing w:before="40" w:after="40"/>
            </w:pPr>
            <w:r>
              <w:rPr>
                <w:rFonts w:ascii="Calibri" w:hAnsi="Calibri"/>
                <w:sz w:val="20"/>
              </w:rPr>
              <w:t>baseline</w:t>
            </w:r>
          </w:p>
        </w:tc>
        <w:tc>
          <w:tcPr>
            <w:tcW w:type="dxa" w:w="1805"/>
            <w:shd w:val="clear" w:color="auto" w:fill="F2F2F2"/>
          </w:tcPr>
          <w:p>
            <w:pPr>
              <w:spacing w:before="40" w:after="40"/>
            </w:pPr>
            <w:r>
              <w:rPr>
                <w:rFonts w:ascii="Calibri" w:hAnsi="Calibri"/>
                <w:sz w:val="20"/>
              </w:rPr>
            </w:r>
          </w:p>
        </w:tc>
      </w:tr>
      <w:tr>
        <w:tc>
          <w:tcPr>
            <w:tcW w:type="dxa" w:w="1805"/>
            <w:shd w:val="clear" w:color="auto" w:fill="FFFFFF"/>
          </w:tcPr>
          <w:p>
            <w:pPr>
              <w:spacing w:before="40" w:after="40"/>
            </w:pPr>
            <w:r>
              <w:rPr>
                <w:rFonts w:ascii="Calibri" w:hAnsi="Calibri"/>
                <w:sz w:val="20"/>
              </w:rPr>
              <w:t>fog_q</w:t>
            </w:r>
          </w:p>
        </w:tc>
        <w:tc>
          <w:tcPr>
            <w:tcW w:type="dxa" w:w="1805"/>
            <w:shd w:val="clear" w:color="auto" w:fill="FFFFFF"/>
          </w:tcPr>
          <w:p>
            <w:pPr>
              <w:spacing w:before="40" w:after="40"/>
            </w:pPr>
            <w:r>
              <w:rPr>
                <w:rFonts w:ascii="Calibri" w:hAnsi="Calibri"/>
                <w:sz w:val="20"/>
              </w:rPr>
              <w:t>fog_q</w:t>
            </w:r>
          </w:p>
        </w:tc>
        <w:tc>
          <w:tcPr>
            <w:tcW w:type="dxa" w:w="1805"/>
            <w:shd w:val="clear" w:color="auto" w:fill="FFFFFF"/>
          </w:tcPr>
          <w:p>
            <w:pPr>
              <w:spacing w:before="40" w:after="40"/>
            </w:pPr>
            <w:r>
              <w:rPr>
                <w:rFonts w:ascii="Calibri" w:hAnsi="Calibri"/>
                <w:sz w:val="20"/>
              </w:rPr>
            </w:r>
          </w:p>
        </w:tc>
        <w:tc>
          <w:tcPr>
            <w:tcW w:type="dxa" w:w="1805"/>
            <w:shd w:val="clear" w:color="auto" w:fill="FFFFFF"/>
          </w:tcPr>
          <w:p>
            <w:pPr>
              <w:spacing w:before="40" w:after="40"/>
            </w:pPr>
            <w:r>
              <w:rPr>
                <w:rFonts w:ascii="Calibri" w:hAnsi="Calibri"/>
                <w:sz w:val="20"/>
              </w:rPr>
              <w:t>baseline</w:t>
            </w:r>
          </w:p>
        </w:tc>
        <w:tc>
          <w:tcPr>
            <w:tcW w:type="dxa" w:w="1805"/>
            <w:shd w:val="clear" w:color="auto" w:fill="FFFFFF"/>
          </w:tcPr>
          <w:p>
            <w:pPr>
              <w:spacing w:before="40" w:after="40"/>
            </w:pPr>
            <w:r>
              <w:rPr>
                <w:rFonts w:ascii="Calibri" w:hAnsi="Calibri"/>
                <w:sz w:val="20"/>
              </w:rPr>
            </w:r>
          </w:p>
        </w:tc>
      </w:tr>
    </w:tbl>
    <w:p>
      <w:pPr>
        <w:spacing w:before="40" w:after="160"/>
      </w:pPr>
      <w:r>
        <w:rPr>
          <w:i/>
          <w:color w:val="666666"/>
          <w:sz w:val="16"/>
        </w:rPr>
        <w:t>Table: Assessment Tools</w:t>
      </w:r>
    </w:p>
    <w:p/>
    <w:p>
      <w:pPr>
        <w:spacing w:after="120"/>
      </w:pPr>
    </w:p>
    <w:p>
      <w:pPr>
        <w:spacing w:before="240" w:after="80"/>
      </w:pPr>
      <w:r>
        <w:rPr>
          <w:rFonts w:ascii="Calibri" w:hAnsi="Calibri"/>
          <w:b/>
          <w:color w:val="1B3A5C"/>
          <w:sz w:val="28"/>
        </w:rPr>
        <w:t>References &amp; Evidence Sources</w:t>
      </w:r>
    </w:p>
    <w:p>
      <w:pPr>
        <w:pBdr>
          <w:bottom w:val="single" w:sz="6" w:space="1" w:color="2E75B6"/>
        </w:pBdr>
        <w:spacing w:after="120"/>
      </w:pPr>
    </w:p>
    <w:p>
      <w:pPr>
        <w:pStyle w:val="ListNumber"/>
        <w:spacing w:before="40" w:after="40"/>
      </w:pPr>
      <w:r>
        <w:rPr>
          <w:rFonts w:ascii="Calibri" w:hAnsi="Calibri"/>
          <w:color w:val="000000"/>
          <w:sz w:val="22"/>
        </w:rPr>
        <w:t>pmid='32180044' doi=None title="tDCS in Parkinson's Disease: A Systematic Review and Meta-analysis" authors='Doruk Cengiz A et al.' year=2020 journal='Neurological Sciences' evidence_level='high' notes=''</w:t>
      </w:r>
    </w:p>
    <w:p>
      <w:pPr>
        <w:pStyle w:val="ListNumber"/>
        <w:spacing w:before="40" w:after="40"/>
      </w:pPr>
      <w:r>
        <w:rPr>
          <w:rFonts w:ascii="Calibri" w:hAnsi="Calibri"/>
          <w:color w:val="000000"/>
          <w:sz w:val="22"/>
        </w:rPr>
        <w:t>pmid='20801741' doi=None title="Transcranial direct current stimulation for the treatment of Parkinson's disease" authors='Benninger DH et al.' year=2010 journal='Journal of Neurology, Neurosurgery &amp; Psychiatry' evidence_level='high' notes=''</w:t>
      </w:r>
    </w:p>
    <w:p>
      <w:pPr>
        <w:pStyle w:val="ListNumber"/>
        <w:spacing w:before="40" w:after="40"/>
      </w:pPr>
      <w:r>
        <w:rPr>
          <w:rFonts w:ascii="Calibri" w:hAnsi="Calibri"/>
          <w:color w:val="000000"/>
          <w:sz w:val="22"/>
        </w:rPr>
        <w:t>pmid='16949616' doi=None title="Effects of transcranial direct current stimulation on working memory in patients with Parkinson's disease" authors='Boggio PS et al.' year=2006 journal='Journal of the Neurological Sciences' evidence_level='high' notes=''</w:t>
      </w:r>
    </w:p>
    <w:p>
      <w:pPr>
        <w:pStyle w:val="ListNumber"/>
        <w:spacing w:before="40" w:after="40"/>
      </w:pPr>
      <w:r>
        <w:rPr>
          <w:rFonts w:ascii="Calibri" w:hAnsi="Calibri"/>
          <w:color w:val="000000"/>
          <w:sz w:val="22"/>
        </w:rPr>
        <w:t>pmid='23421889' doi=None title="Therapeutic utility of bifrontal transcranial direct current stimulation in Parkinson's disease" authors='Khedr EM et al.' year=2013 journal='European Journal of Neurology' evidence_level='high' notes=''</w:t>
      </w:r>
    </w:p>
    <w:p>
      <w:pPr>
        <w:pStyle w:val="ListNumber"/>
        <w:spacing w:before="40" w:after="40"/>
      </w:pPr>
      <w:r>
        <w:rPr>
          <w:rFonts w:ascii="Calibri" w:hAnsi="Calibri"/>
          <w:color w:val="000000"/>
          <w:sz w:val="22"/>
        </w:rPr>
        <w:t>pmid='19343477' doi=None title='MDS-UPDRS: Scale presentation and clinimetric testing results' authors='Goetz CG et al.' year=2008 journal='Movement Disorders' evidence_level='high' notes='MDS-UPDRS validation reference'</w:t>
      </w:r>
    </w:p>
    <w:p>
      <w:pPr>
        <w:spacing w:after="120"/>
      </w:pPr>
    </w:p>
    <w:p>
      <w:r>
        <w:rPr>
          <w:rFonts w:ascii="Calibri" w:hAnsi="Calibri"/>
          <w:b/>
          <w:color w:val="1B3A5C"/>
          <w:sz w:val="24"/>
        </w:rPr>
        <w:t>References &amp; Evidence Sources</w:t>
      </w:r>
    </w:p>
    <w:p>
      <w:pPr>
        <w:ind w:left="480" w:hanging="360"/>
      </w:pPr>
      <w:r>
        <w:rPr>
          <w:rFonts w:ascii="Calibri" w:hAnsi="Calibri"/>
          <w:sz w:val="18"/>
        </w:rPr>
        <w:t>1. Doruk Cengiz A et al. (2020). tDCS in Parkinson's Disease: A Systematic Review and Meta-analysis. Neurological Sciences. PMID: 32180044.</w:t>
      </w:r>
    </w:p>
    <w:p>
      <w:pPr>
        <w:ind w:left="480" w:hanging="360"/>
      </w:pPr>
      <w:r>
        <w:rPr>
          <w:rFonts w:ascii="Calibri" w:hAnsi="Calibri"/>
          <w:sz w:val="18"/>
        </w:rPr>
        <w:t>2. Benninger DH et al. (2010). Transcranial direct current stimulation for the treatment of Parkinson's disease. Journal of Neurology, Neurosurgery &amp; Psychiatry. PMID: 20801741.</w:t>
      </w:r>
    </w:p>
    <w:p>
      <w:pPr>
        <w:ind w:left="480" w:hanging="360"/>
      </w:pPr>
      <w:r>
        <w:rPr>
          <w:rFonts w:ascii="Calibri" w:hAnsi="Calibri"/>
          <w:sz w:val="18"/>
        </w:rPr>
        <w:t>3. Boggio PS et al. (2006). Effects of transcranial direct current stimulation on working memory in patients with Parkinson's disease. Journal of the Neurological Sciences. PMID: 16949616.</w:t>
      </w:r>
    </w:p>
    <w:p>
      <w:pPr>
        <w:ind w:left="480" w:hanging="360"/>
      </w:pPr>
      <w:r>
        <w:rPr>
          <w:rFonts w:ascii="Calibri" w:hAnsi="Calibri"/>
          <w:sz w:val="18"/>
        </w:rPr>
        <w:t>4. Khedr EM et al. (2013). Therapeutic utility of bifrontal transcranial direct current stimulation in Parkinson's disease. European Journal of Neurology. PMID: 23421889.</w:t>
      </w:r>
    </w:p>
    <w:p>
      <w:pPr>
        <w:ind w:left="480" w:hanging="360"/>
      </w:pPr>
      <w:r>
        <w:rPr>
          <w:rFonts w:ascii="Calibri" w:hAnsi="Calibri"/>
          <w:sz w:val="18"/>
        </w:rPr>
        <w:t>5. Goetz CG et al. (2008). MDS-UPDRS: Scale presentation and clinimetric testing results. Movement Disorders. PMID: 19343477.</w:t>
      </w:r>
    </w:p>
    <w:sectPr w:rsidR="00FC693F" w:rsidRPr="0006063C" w:rsidSect="00034616">
      <w:headerReference w:type="default" r:id="rId9"/>
      <w:footerReference w:type="default" r:id="rId10"/>
      <w:pgSz w:w="11906" w:h="16838"/>
      <w:pgMar w:top="1701" w:right="1440" w:bottom="1440" w:left="1440" w:header="2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color="1B3A5C"/>
      </w:pBdr>
    </w:pPr>
    <w:r>
      <w:rPr>
        <w:rFonts w:ascii="Calibri" w:hAnsi="Calibri"/>
        <w:color w:val="999999"/>
        <w:sz w:val="16"/>
      </w:rPr>
      <w:t xml:space="preserve">© 2026 SOZO Brain Center. All rights reserved. CONFIDENTIAL.  |  Page </w:t>
    </w:r>
    <w:r>
      <w:rPr>
        <w:color w:val="99999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center"/>
    </w:pPr>
    <w:r>
      <w:rPr>
        <w:rFonts w:ascii="Calibri" w:hAnsi="Calibri"/>
        <w:b/>
        <w:color w:val="1B3A5C"/>
        <w:sz w:val="18"/>
      </w:rPr>
      <w:t>SOZO BRAIN CENTER</w:t>
    </w:r>
    <w:r>
      <w:rPr>
        <w:sz w:val="18"/>
      </w:rPr>
      <w:t xml:space="preserve">  |  </w:t>
    </w:r>
    <w:r>
      <w:rPr>
        <w:rFonts w:ascii="Calibri" w:hAnsi="Calibri"/>
        <w:color w:val="1B3A5C"/>
        <w:sz w:val="18"/>
      </w:rPr>
      <w:t>Parkinson's Disease — Psychological Intake &amp; PRS Baseline — Parkinson's Disease</w:t>
    </w:r>
    <w:r>
      <w:rPr>
        <w:sz w:val="18"/>
      </w:rPr>
      <w:t xml:space="preserve">  |  </w:t>
    </w:r>
    <w:r>
      <w:rPr>
        <w:rFonts w:ascii="Calibri" w:hAnsi="Calibri"/>
        <w:b/>
        <w:color w:val="CC0000"/>
        <w:sz w:val="18"/>
      </w:rPr>
      <w:t>FELLOW TIER</w:t>
    </w:r>
  </w:p>
  <w:p>
    <w:pPr>
      <w:jc w:val="center"/>
      <w:pBdr>
        <w:bottom w:val="single" w:sz="4" w:color="1B3A5C"/>
      </w:pBdr>
    </w:pPr>
    <w:r>
      <w:rPr>
        <w:rFonts w:ascii="Calibri" w:hAnsi="Calibri"/>
        <w:i/>
        <w:color w:val="999999"/>
        <w:sz w:val="16"/>
      </w:rPr>
      <w:t>Version 1.0  |  CONFIDENTIAL  |  © 2026 SOZO Brain Center. All rights reserved.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