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ATTENTION DEFICIT HYPERACTIVITY DISORDER</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Attention Deficit Hyperactivity Disorder (ADHD).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Attention Deficit Hyperactivity Disorder (ADHD)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ADHD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ADHD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Evidence Level</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 — INVESTIGATIONAL OFF-LABEL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Pilot RCT, Double-blind Sham-controlled</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(epilepsy/depression)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 (anxiety/insomnia/depression)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Attention Deficit Hyperactivity Disorder is INVESTIGATIONAL at SOZO Brain Center. It is not CE-marked or FDA-approved for ADHD.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ADHD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Attention Deficit Hyperactivity Disorder (ADHD).</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ADHD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ADHD treatment.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ADHD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bilateral DLPFC and attention network upregulation for ADHD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adjunctive — attention and arousal regulation via vagal pathway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Off-label supportive — emotional dysregulation and sleep component in ADHD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ADHD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Inattention (difficulty sustaining focus on tasks)</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Distractibility (ease of distraction by external stimuli)</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Task completion (difficulty finishing started tasks)</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Organisation (ability to manage tasks, materials, time)</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Forgetfulness (forgetting daily tasks and appointments)</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Hyperactivity (physical restlessness or motor overactivity)</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Impulsivity (acting without thinking, interrupting)</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Time management (chronic lateness, poor time sense)</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Emotional dysregulation (anger, frustration bursts)</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Frustration tolerance</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onset / maintenance problems</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Self-esteem and confidence</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Interpersonal relationships</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Motivation and initiation</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Procrastination</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Restlessness / internal hyperactivity</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Inattentive, Hyperactive-Impulsive, Combined, Executive-Dominant, Emotional Dysregulation, Sluggish Cognitive Tempo (SCT), Working Memory, Reward-Deficit, or Comorbid Anxiety.</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ADHD: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Inattentive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ATTENTION hypofunction (DAN hypoactivation) + CEN working memory deficit + DMN intrusion during tasks</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Hyperactive-Impulsive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dysregulation (impulsivity) + CEN inhibitory control failure + prefrontal hypoactivation</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Combined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Dual ATTENTION/CEN hypofunction + SN dysregulation; full clinical profile across all domains</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 fragmentation (planning, organisation, cognitive flexibility) + ATTENTION hypofunction</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Emotional Dysregulation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hyperactivation + CEN-LIMBIC inhibitory failure; prominent frustration and anger outbursts</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Sluggish Cognitive Tempo</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Global network low arousal; slow processing speed, daydreaming; ATTENTION-CEN combined hypoactivation</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Working Memory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CEN-specific deficit (dorsolateral PFC hypoactivation); prominent forgetfulness and task-tracking impairment</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Reward-Deficit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reward circuit hyposensitivity (DA pathway); motivation failure, procrastination, novelty-seeking</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(ADHD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stimulant medication (name, dose, timing of last dose, whether today is a medication day or drug holiday)</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(stimulant medication adherence, timing of last dose, on-medication or drug holiday status)</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 function / working memory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Computerised working memory training (n-back, dual-task), verbal fluency, task-switching</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Cz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Attention and focus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Sustained attention tasks (CPT), auditory vigilance, target detection tasks</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Right DLPFC (F4 anode / F3 cathode)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Impulsivity / inhibition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Go/no-go paradigm, stop-signal task, response inhibition drills</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Cz / FCz (attention midline)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Hyperactivity / arousal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Mindfulness-based attention regulation, slow pacing tasks, structured movement breaks</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 tDCS combined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Emotional regulation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Frustration tolerance exercises, emotion identification, CBT-based impulse management</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Attention / Focus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improvement in ASRS or equivalent + PRS inattention items; improved task completion</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 Function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organisation, planning, and working memory (PRS + BRIEF or equivalent)</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Hyperactivity / Impulsivity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hyperactivity and impulsivity ratings (PRS) and clinician / teacher global impression</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Emotional / Function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emotional regulation, self-esteem, and occupational or academic functioning (PRS secondary)</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ADHD symptom expression varies significantly between on-medication and off-medication states. Standardise assessment conditions between baseline and follow-up — always assess in the same medication state (on or off). Document concurrent psychotherapy, coaching, or school/workplace accommodations when interpreting SOZO PRS changes.</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diagnosis of ADHD (DSM-5 or ICD-11 criteria; clinical or formal neuropsychological assessment)</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Moderate to severe symptom impairment in at least two settings (work, school, home)</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16+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ADHD outcome measures (ASRS or equivalent)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Unstable comorbid bipolar disorder or psychosis</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substance abuse (stimulant misuse requiring specialist management first)</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tic disorder (Tourette's) requiring specialist review</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Uncontrolled hypertension (stimulant medication interaction — Doctor review required)</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ADHD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Inattentive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(2 mA, 20 min) + Cz attention montage + TPS frontal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Hyperactive-Impulsive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F4 anode / F3 cathode (R-DLPFC inhibition) + TPS frontal SMA + taVNS + CES (arousal control)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Combined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TPS frontal + taVNS + CES; alternate attention and inhibition montages weekly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TPS frontal targeted + taVNS supportive; pair with executive training</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Emotional Dysregulation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 TPS frontal + taVNS primary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Sluggish Cognitive Tempo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Cz (arousal up) + TPS frontal + taVNS; pair with high-engagement cognitive tasks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Working Memory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high-focus + TPS frontal targeted + taVNS; pair with n-back training</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Reward-Deficit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F3 anode / Fp2 cathode (reward circuit) + TPS frontal + taVNS; pair with motivational behavioural activation</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