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i w:val="0"/>
          <w:color w:val="1B3A5C"/>
          <w:sz w:val="32"/>
        </w:rPr>
        <w:t>SOZO BRAIN CENTER — PARTNERS TIER</w:t>
      </w:r>
    </w:p>
    <w:p>
      <w:pPr>
        <w:jc w:val="center"/>
      </w:pPr>
      <w:r>
        <w:rPr>
          <w:rFonts w:ascii="Calibri" w:hAnsi="Calibri"/>
          <w:b/>
          <w:i w:val="0"/>
          <w:color w:val="2E75B6"/>
          <w:sz w:val="28"/>
        </w:rPr>
        <w:t>Alzheimer's-Specific 6-Network Bedside Assessment</w:t>
      </w:r>
    </w:p>
    <w:p>
      <w:pPr>
        <w:shd w:val="clear" w:color="auto" w:fill="7B2D8E"/>
        <w:jc w:val="center"/>
      </w:pPr>
      <w:r>
        <w:rPr>
          <w:rFonts w:ascii="Calibri" w:hAnsi="Calibri"/>
          <w:b/>
          <w:i w:val="0"/>
          <w:color w:val="FFFFFF"/>
          <w:sz w:val="22"/>
        </w:rPr>
        <w:t>🟣 FNON + Evidence-Based Assessment — Includes Brain Network Analysis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1B3A5C"/>
          <w:left w:val="single" w:sz="4" w:space="0" w:color="1B3A5C"/>
          <w:bottom w:val="single" w:sz="4" w:space="0" w:color="1B3A5C"/>
          <w:right w:val="single" w:sz="4" w:space="0" w:color="1B3A5C"/>
          <w:insideH w:val="single" w:sz="4" w:space="0" w:color="1B3A5C"/>
          <w:insideV w:val="single" w:sz="4" w:space="0" w:color="1B3A5C"/>
        </w:tblBorders>
      </w:tblPr>
      <w:tblGrid>
        <w:gridCol w:w="4680"/>
        <w:gridCol w:w="4680"/>
      </w:tblGrid>
      <w:tr>
        <w:tc>
          <w:tcPr>
            <w:tcW w:type="dxa" w:w="4680"/>
            <w:shd w:val="clear" w:color="auto" w:fill="F2F2F2"/>
          </w:tcPr>
          <w:p>
            <w:r>
              <w:rPr>
                <w:rFonts w:ascii="Calibri" w:hAnsi="Calibri"/>
                <w:b/>
                <w:i w:val="0"/>
                <w:color w:val="1B3A5C"/>
                <w:sz w:val="20"/>
              </w:rPr>
              <w:t>Patient Name: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</w:r>
          </w:p>
        </w:tc>
      </w:tr>
      <w:tr>
        <w:tc>
          <w:tcPr>
            <w:tcW w:type="dxa" w:w="4680"/>
            <w:shd w:val="clear" w:color="auto" w:fill="F2F2F2"/>
          </w:tcPr>
          <w:p>
            <w:r>
              <w:rPr>
                <w:rFonts w:ascii="Calibri" w:hAnsi="Calibri"/>
                <w:b/>
                <w:i w:val="0"/>
                <w:color w:val="1B3A5C"/>
                <w:sz w:val="20"/>
              </w:rPr>
              <w:t>Date of Birth: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</w:r>
          </w:p>
        </w:tc>
      </w:tr>
      <w:tr>
        <w:tc>
          <w:tcPr>
            <w:tcW w:type="dxa" w:w="4680"/>
            <w:shd w:val="clear" w:color="auto" w:fill="F2F2F2"/>
          </w:tcPr>
          <w:p>
            <w:r>
              <w:rPr>
                <w:rFonts w:ascii="Calibri" w:hAnsi="Calibri"/>
                <w:b/>
                <w:i w:val="0"/>
                <w:color w:val="1B3A5C"/>
                <w:sz w:val="20"/>
              </w:rPr>
              <w:t>Date of Assessment: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</w:r>
          </w:p>
        </w:tc>
      </w:tr>
      <w:tr>
        <w:tc>
          <w:tcPr>
            <w:tcW w:type="dxa" w:w="4680"/>
            <w:shd w:val="clear" w:color="auto" w:fill="F2F2F2"/>
          </w:tcPr>
          <w:p>
            <w:r>
              <w:rPr>
                <w:rFonts w:ascii="Calibri" w:hAnsi="Calibri"/>
                <w:b/>
                <w:i w:val="0"/>
                <w:color w:val="1B3A5C"/>
                <w:sz w:val="20"/>
              </w:rPr>
              <w:t>Clinician: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</w:r>
          </w:p>
        </w:tc>
      </w:tr>
      <w:tr>
        <w:tc>
          <w:tcPr>
            <w:tcW w:type="dxa" w:w="4680"/>
            <w:shd w:val="clear" w:color="auto" w:fill="F2F2F2"/>
          </w:tcPr>
          <w:p>
            <w:r>
              <w:rPr>
                <w:rFonts w:ascii="Calibri" w:hAnsi="Calibri"/>
                <w:b/>
                <w:i w:val="0"/>
                <w:color w:val="1B3A5C"/>
                <w:sz w:val="20"/>
              </w:rPr>
              <w:t>Session Number: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</w:r>
          </w:p>
        </w:tc>
      </w:tr>
      <w:tr>
        <w:tc>
          <w:tcPr>
            <w:tcW w:type="dxa" w:w="4680"/>
            <w:shd w:val="clear" w:color="auto" w:fill="F2F2F2"/>
          </w:tcPr>
          <w:p>
            <w:r>
              <w:rPr>
                <w:rFonts w:ascii="Calibri" w:hAnsi="Calibri"/>
                <w:b/>
                <w:i w:val="0"/>
                <w:color w:val="1B3A5C"/>
                <w:sz w:val="20"/>
              </w:rPr>
              <w:t>Medication State: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ON  /  OFF  /  Wash-out</w:t>
            </w:r>
          </w:p>
        </w:tc>
      </w:tr>
      <w:tr>
        <w:tc>
          <w:tcPr>
            <w:tcW w:type="dxa" w:w="4680"/>
            <w:shd w:val="clear" w:color="auto" w:fill="F2F2F2"/>
          </w:tcPr>
          <w:p>
            <w:r>
              <w:rPr>
                <w:rFonts w:ascii="Calibri" w:hAnsi="Calibri"/>
                <w:b/>
                <w:i w:val="0"/>
                <w:color w:val="1B3A5C"/>
                <w:sz w:val="20"/>
              </w:rPr>
              <w:t>Primary Diagnosis: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</w:r>
          </w:p>
        </w:tc>
      </w:tr>
      <w:tr>
        <w:tc>
          <w:tcPr>
            <w:tcW w:type="dxa" w:w="4680"/>
            <w:shd w:val="clear" w:color="auto" w:fill="F2F2F2"/>
          </w:tcPr>
          <w:p>
            <w:r>
              <w:rPr>
                <w:rFonts w:ascii="Calibri" w:hAnsi="Calibri"/>
                <w:b/>
                <w:i w:val="0"/>
                <w:color w:val="1B3A5C"/>
                <w:sz w:val="20"/>
              </w:rPr>
              <w:t>Secondary Diagnosis: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</w:r>
          </w:p>
        </w:tc>
      </w:tr>
      <w:tr>
        <w:tc>
          <w:tcPr>
            <w:tcW w:type="dxa" w:w="4680"/>
            <w:shd w:val="clear" w:color="auto" w:fill="F2F2F2"/>
          </w:tcPr>
          <w:p>
            <w:r>
              <w:rPr>
                <w:rFonts w:ascii="Calibri" w:hAnsi="Calibri"/>
                <w:b/>
                <w:i w:val="0"/>
                <w:color w:val="1B3A5C"/>
                <w:sz w:val="20"/>
              </w:rPr>
              <w:t>Current Medications: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</w:r>
          </w:p>
        </w:tc>
      </w:tr>
      <w:tr>
        <w:tc>
          <w:tcPr>
            <w:tcW w:type="dxa" w:w="4680"/>
            <w:shd w:val="clear" w:color="auto" w:fill="F2F2F2"/>
          </w:tcPr>
          <w:p>
            <w:r>
              <w:rPr>
                <w:rFonts w:ascii="Calibri" w:hAnsi="Calibri"/>
                <w:b/>
                <w:i w:val="0"/>
                <w:color w:val="1B3A5C"/>
                <w:sz w:val="20"/>
              </w:rPr>
              <w:t>Referral Source: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</w:r>
          </w:p>
        </w:tc>
      </w:tr>
      <w:tr>
        <w:tc>
          <w:tcPr>
            <w:tcW w:type="dxa" w:w="4680"/>
            <w:shd w:val="clear" w:color="auto" w:fill="F2F2F2"/>
          </w:tcPr>
          <w:p>
            <w:r>
              <w:rPr>
                <w:rFonts w:ascii="Calibri" w:hAnsi="Calibri"/>
                <w:b/>
                <w:i w:val="0"/>
                <w:color w:val="1B3A5C"/>
                <w:sz w:val="20"/>
              </w:rPr>
              <w:t>Notes: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</w:r>
          </w:p>
        </w:tc>
      </w:tr>
    </w:tbl>
    <w:p/>
    <w:p>
      <w:r>
        <w:rPr>
          <w:rFonts w:ascii="Calibri" w:hAnsi="Calibri"/>
          <w:b/>
          <w:i w:val="0"/>
          <w:color w:val="1B3A5C"/>
          <w:sz w:val="22"/>
        </w:rPr>
        <w:t xml:space="preserve">Scoring Key: </w:t>
      </w:r>
      <w:r>
        <w:rPr>
          <w:rFonts w:ascii="Calibri" w:hAnsi="Calibri"/>
          <w:b w:val="0"/>
          <w:i w:val="0"/>
          <w:color w:val="2E75B6"/>
          <w:sz w:val="22"/>
        </w:rPr>
        <w:t xml:space="preserve">HYPO (1)  |  </w:t>
      </w:r>
      <w:r>
        <w:rPr>
          <w:rFonts w:ascii="Calibri" w:hAnsi="Calibri"/>
          <w:b w:val="0"/>
          <w:i w:val="0"/>
          <w:color w:val="1B3A5C"/>
          <w:sz w:val="22"/>
        </w:rPr>
        <w:t xml:space="preserve">NORMAL (0)  |  </w:t>
      </w:r>
      <w:r>
        <w:rPr>
          <w:rFonts w:ascii="Calibri" w:hAnsi="Calibri"/>
          <w:b w:val="0"/>
          <w:i w:val="0"/>
          <w:color w:val="CC0000"/>
          <w:sz w:val="22"/>
        </w:rPr>
        <w:t>HYPER (2)</w:t>
      </w:r>
      <w:r>
        <w:rPr>
          <w:rFonts w:ascii="Calibri" w:hAnsi="Calibri"/>
          <w:b/>
          <w:i w:val="0"/>
          <w:color w:val="1B3A5C"/>
          <w:sz w:val="22"/>
        </w:rPr>
        <w:t xml:space="preserve">          Total: 44 Tests (Max Score: 88)</w:t>
      </w:r>
    </w:p>
    <w:p>
      <w:pPr>
        <w:shd w:val="clear" w:color="auto" w:fill="7B2D8E"/>
      </w:pPr>
      <w:r>
        <w:rPr>
          <w:rFonts w:ascii="Calibri" w:hAnsi="Calibri"/>
          <w:b/>
          <w:i w:val="0"/>
          <w:color w:val="FFFFFF"/>
          <w:sz w:val="20"/>
        </w:rPr>
        <w:t xml:space="preserve">🟣 Alzheimer's-Adapted Version: </w:t>
      </w:r>
      <w:r>
        <w:rPr>
          <w:rFonts w:ascii="Calibri" w:hAnsi="Calibri"/>
          <w:b w:val="0"/>
          <w:i w:val="0"/>
          <w:color w:val="FFFFFF"/>
          <w:sz w:val="20"/>
        </w:rPr>
        <w:t>Includes progressive memory loss markers, default mode failure indicators, and Alzheimer's/MCI phenotype staging</w:t>
      </w:r>
    </w:p>
    <w:p/>
    <w:p>
      <w:pPr>
        <w:spacing w:before="120" w:after="80"/>
      </w:pPr>
      <w:r>
        <w:rPr>
          <w:rFonts w:ascii="Calibri" w:hAnsi="Calibri"/>
          <w:b/>
          <w:i w:val="0"/>
          <w:color w:val="2E75B6"/>
          <w:sz w:val="24"/>
        </w:rPr>
        <w:t>Default Mode Network (DMN) — Max Score: 14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1B3A5C"/>
          <w:left w:val="single" w:sz="4" w:space="0" w:color="1B3A5C"/>
          <w:bottom w:val="single" w:sz="4" w:space="0" w:color="1B3A5C"/>
          <w:right w:val="single" w:sz="4" w:space="0" w:color="1B3A5C"/>
          <w:insideH w:val="single" w:sz="4" w:space="0" w:color="1B3A5C"/>
          <w:insideV w:val="single" w:sz="4" w:space="0" w:color="1B3A5C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84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Bedside Test</w:t>
            </w:r>
          </w:p>
        </w:tc>
        <w:tc>
          <w:tcPr>
            <w:tcW w:type="dxa" w:w="2736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How to Perform</w:t>
            </w:r>
          </w:p>
        </w:tc>
        <w:tc>
          <w:tcPr>
            <w:tcW w:type="dxa" w:w="1584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Normal</w:t>
            </w:r>
          </w:p>
        </w:tc>
        <w:tc>
          <w:tcPr>
            <w:tcW w:type="dxa" w:w="1872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HYPO (1)</w:t>
            </w:r>
          </w:p>
        </w:tc>
        <w:tc>
          <w:tcPr>
            <w:tcW w:type="dxa" w:w="1872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HYPER (2)</w:t>
            </w:r>
          </w:p>
        </w:tc>
        <w:tc>
          <w:tcPr>
            <w:tcW w:type="dxa" w:w="864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Score</w:t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Episodic Memory — MMSE Recall</w:t>
            </w:r>
          </w:p>
        </w:tc>
        <w:tc>
          <w:tcPr>
            <w:tcW w:type="dxa" w:w="2736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Tell 3 unrelated words (apple, table, penny). Distract for 5 min with other tests. Ask for free recall.</w:t>
            </w:r>
          </w:p>
        </w:tc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Recalls 3/3 without cues; consistent across session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Unable to recall even with semantic cues; severe DMN failure (AD marker)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Recalls 3/3 but perseveratively repeats words before asked; confabulatory</w:t>
            </w:r>
          </w:p>
        </w:tc>
        <w:tc>
          <w:tcPr>
            <w:tcW w:type="dxa" w:w="86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Clock Drawing Test</w:t>
            </w:r>
          </w:p>
        </w:tc>
        <w:tc>
          <w:tcPr>
            <w:tcW w:type="dxa" w:w="2736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Draw a clock showing 10:10. Score: circle (1), all numbers (1), correct placement (1), both hands correct (1). Max 4.</w:t>
            </w:r>
          </w:p>
        </w:tc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Score 4/4; appropriate size; symmetric layout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Score 0–2; missing numbers/hands; spatial disorientation (DMN hub failure)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Score 3–4 but slow; anxious; excessively checked (MCI compensatory behavior)</w:t>
            </w:r>
          </w:p>
        </w:tc>
        <w:tc>
          <w:tcPr>
            <w:tcW w:type="dxa" w:w="86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Autobiographical Memory</w:t>
            </w:r>
          </w:p>
        </w:tc>
        <w:tc>
          <w:tcPr>
            <w:tcW w:type="dxa" w:w="2736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Ask 3 personal memories (childhood, young adult, recent). Rate specificity, chronology, and accuracy if verifiable.</w:t>
            </w:r>
          </w:p>
        </w:tc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Specific, episodically rich memories; correct temporal sequence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Remote memories intact but recent memories lost (temporal gradient); AD pattern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Confabulates recent events with distant memories; temporal disorientation</w:t>
            </w:r>
          </w:p>
        </w:tc>
        <w:tc>
          <w:tcPr>
            <w:tcW w:type="dxa" w:w="86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Orientation — Time and Place</w:t>
            </w:r>
          </w:p>
        </w:tc>
        <w:tc>
          <w:tcPr>
            <w:tcW w:type="dxa" w:w="2736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Ask: current date, year, season, place (building, city, state, country). Score /8.</w:t>
            </w:r>
          </w:p>
        </w:tc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8/8 correct; no hesitation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&lt;6/8; disoriented to time then place; AD progression marker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Answers correctly but repetitively asks for confirmation; MCI anxiety</w:t>
            </w:r>
          </w:p>
        </w:tc>
        <w:tc>
          <w:tcPr>
            <w:tcW w:type="dxa" w:w="86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Verbal Semantic Memory</w:t>
            </w:r>
          </w:p>
        </w:tc>
        <w:tc>
          <w:tcPr>
            <w:tcW w:type="dxa" w:w="2736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Category fluency: name as many animals as possible in 1 min. Count and note intrusions.</w:t>
            </w:r>
          </w:p>
        </w:tc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≥15 animals; &lt;3 repetitions; no intrusions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&lt;8 animals; semantic memory degradation; AD fluency pattern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12–14 animals but with 3–5 perseverative repetitions; semantic network degradation</w:t>
            </w:r>
          </w:p>
        </w:tc>
        <w:tc>
          <w:tcPr>
            <w:tcW w:type="dxa" w:w="86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Spatial Self-Reference</w:t>
            </w:r>
          </w:p>
        </w:tc>
        <w:tc>
          <w:tcPr>
            <w:tcW w:type="dxa" w:w="2736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Draw an arrow pointing to the exit. Draw a map of the room. Rate spatial self-orientation.</w:t>
            </w:r>
          </w:p>
        </w:tc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Correct arrow and rough room map; spatial reference maintained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Unable to indicate exit or map room; severe spatial disorientation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Correct arrow but confuses own position in room; egocentric spatial failure</w:t>
            </w:r>
          </w:p>
        </w:tc>
        <w:tc>
          <w:tcPr>
            <w:tcW w:type="dxa" w:w="86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Story Recall</w:t>
            </w:r>
          </w:p>
        </w:tc>
        <w:tc>
          <w:tcPr>
            <w:tcW w:type="dxa" w:w="2736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Read a 3-sentence story aloud. Ask to repeat it immediately then after 5 min delay.</w:t>
            </w:r>
          </w:p>
        </w:tc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Immediate: ≥80% details; Delayed: ≥60% details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Immediate &lt;50%, delayed 0%; encoding failure; AD episodic memory marker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Immediate 80% but contaminated with intrusions; confabulatory elaboration</w:t>
            </w:r>
          </w:p>
        </w:tc>
        <w:tc>
          <w:tcPr>
            <w:tcW w:type="dxa" w:w="86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</w:tbl>
    <w:p/>
    <w:p>
      <w:pPr>
        <w:shd w:val="clear" w:color="auto" w:fill="7B2D8E"/>
        <w:spacing w:before="80" w:after="120"/>
      </w:pPr>
      <w:r>
        <w:rPr>
          <w:rFonts w:ascii="Calibri" w:hAnsi="Calibri"/>
          <w:b/>
          <w:i w:val="0"/>
          <w:color w:val="FFFFFF"/>
          <w:sz w:val="20"/>
        </w:rPr>
        <w:t xml:space="preserve">🟣 FNON NOTE: </w:t>
      </w:r>
      <w:r>
        <w:rPr>
          <w:rFonts w:ascii="Calibri" w:hAnsi="Calibri"/>
          <w:b w:val="0"/>
          <w:i w:val="0"/>
          <w:color w:val="FFFFFF"/>
          <w:sz w:val="20"/>
        </w:rPr>
        <w:t>Alzheimer's Relevance: Alzheimer's disease begins with DMN FAILURE — amyloid deposition preferentially in DMN hubs (mPFC, PCC, angular gyrus) disrupts default mode connectivity. Early AD shows DMN HYPO with autobiographical memory loss, spatial disorientation, and impaired self-referential processing.</w:t>
      </w:r>
    </w:p>
    <w:p>
      <w:pPr>
        <w:spacing w:after="160"/>
      </w:pPr>
      <w:r>
        <w:rPr>
          <w:rFonts w:ascii="Calibri" w:hAnsi="Calibri"/>
          <w:b/>
          <w:i w:val="0"/>
          <w:color w:val="1B3A5C"/>
          <w:sz w:val="22"/>
        </w:rPr>
        <w:t>Default Mode Network (DMN) Total: _____ / 14</w:t>
      </w:r>
    </w:p>
    <w:p>
      <w:pPr>
        <w:spacing w:before="120" w:after="80"/>
      </w:pPr>
      <w:r>
        <w:rPr>
          <w:rFonts w:ascii="Calibri" w:hAnsi="Calibri"/>
          <w:b/>
          <w:i w:val="0"/>
          <w:color w:val="2E75B6"/>
          <w:sz w:val="24"/>
        </w:rPr>
        <w:t>Central Executive Network (CEN/FPN) — Max Score: 14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1B3A5C"/>
          <w:left w:val="single" w:sz="4" w:space="0" w:color="1B3A5C"/>
          <w:bottom w:val="single" w:sz="4" w:space="0" w:color="1B3A5C"/>
          <w:right w:val="single" w:sz="4" w:space="0" w:color="1B3A5C"/>
          <w:insideH w:val="single" w:sz="4" w:space="0" w:color="1B3A5C"/>
          <w:insideV w:val="single" w:sz="4" w:space="0" w:color="1B3A5C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84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Bedside Test</w:t>
            </w:r>
          </w:p>
        </w:tc>
        <w:tc>
          <w:tcPr>
            <w:tcW w:type="dxa" w:w="2736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How to Perform</w:t>
            </w:r>
          </w:p>
        </w:tc>
        <w:tc>
          <w:tcPr>
            <w:tcW w:type="dxa" w:w="1584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Normal</w:t>
            </w:r>
          </w:p>
        </w:tc>
        <w:tc>
          <w:tcPr>
            <w:tcW w:type="dxa" w:w="1872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HYPO (1)</w:t>
            </w:r>
          </w:p>
        </w:tc>
        <w:tc>
          <w:tcPr>
            <w:tcW w:type="dxa" w:w="1872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HYPER (2)</w:t>
            </w:r>
          </w:p>
        </w:tc>
        <w:tc>
          <w:tcPr>
            <w:tcW w:type="dxa" w:w="864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Score</w:t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Digit Span Backward</w:t>
            </w:r>
          </w:p>
        </w:tc>
        <w:tc>
          <w:tcPr>
            <w:tcW w:type="dxa" w:w="2736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Backward digit recall. Start 2 digits; increase.</w:t>
            </w:r>
          </w:p>
        </w:tc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Backward span ≥5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Span ≤3; working memory failure; moderate AD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Span ≥5 but perseverative errors; intrusion from prior digits; executive intrusion</w:t>
            </w:r>
          </w:p>
        </w:tc>
        <w:tc>
          <w:tcPr>
            <w:tcW w:type="dxa" w:w="86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Trail Making B</w:t>
            </w:r>
          </w:p>
        </w:tc>
        <w:tc>
          <w:tcPr>
            <w:tcW w:type="dxa" w:w="2736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Alternating number-letter connections. Time and errors.</w:t>
            </w:r>
          </w:p>
        </w:tc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&lt;90 sec; ≤2 errors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Unable to sequence; loses alternating rule; moderate-severe AD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Multiple self-corrected errors; slow; MCI executive vulnerability</w:t>
            </w:r>
          </w:p>
        </w:tc>
        <w:tc>
          <w:tcPr>
            <w:tcW w:type="dxa" w:w="86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Verbal Fluency FAS</w:t>
            </w:r>
          </w:p>
        </w:tc>
        <w:tc>
          <w:tcPr>
            <w:tcW w:type="dxa" w:w="2736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Letter fluency for F, A, S. Count unique words per letter.</w:t>
            </w:r>
          </w:p>
        </w:tc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≥9 words/letter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&lt;5 words/letter; poor letter fluency; frontal CEN failure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7–9 words but with rule violations and intrusions; CEN degradation</w:t>
            </w:r>
          </w:p>
        </w:tc>
        <w:tc>
          <w:tcPr>
            <w:tcW w:type="dxa" w:w="86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Semantic Category Sorting</w:t>
            </w:r>
          </w:p>
        </w:tc>
        <w:tc>
          <w:tcPr>
            <w:tcW w:type="dxa" w:w="2736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Present 6 items (2 fruits, 2 vehicles, 2 tools). Ask patient to sort into groups. Note category errors.</w:t>
            </w:r>
          </w:p>
        </w:tc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Correct 3-group sorting; no cross-contamination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Cannot identify categories; semantic system failure; moderate-severe AD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Correct sorting but slow; requires multiple prompts; MCI executive degradation</w:t>
            </w:r>
          </w:p>
        </w:tc>
        <w:tc>
          <w:tcPr>
            <w:tcW w:type="dxa" w:w="86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Serial 7 Subtraction</w:t>
            </w:r>
          </w:p>
        </w:tc>
        <w:tc>
          <w:tcPr>
            <w:tcW w:type="dxa" w:w="2736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Backward 100-7 for 5 steps.</w:t>
            </w:r>
          </w:p>
        </w:tc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5/5 correct; &lt;30 sec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≤2/5 correct; loses count; serial arithmetic failure; AD CEN deficit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3–4/5 with self-corrections; slow; MCI executive vulnerability</w:t>
            </w:r>
          </w:p>
        </w:tc>
        <w:tc>
          <w:tcPr>
            <w:tcW w:type="dxa" w:w="86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Go/No-Go Task</w:t>
            </w:r>
          </w:p>
        </w:tc>
        <w:tc>
          <w:tcPr>
            <w:tcW w:type="dxa" w:w="2736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Tap for all letters except X. 20 letters at 1/sec.</w:t>
            </w:r>
          </w:p>
        </w:tc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≤2 commission; ≤2 omission errors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High omissions; poor sustained initiation; executive-attention failure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Understands rule but makes multiple commission errors; response inhibition failure</w:t>
            </w:r>
          </w:p>
        </w:tc>
        <w:tc>
          <w:tcPr>
            <w:tcW w:type="dxa" w:w="86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Category Switching</w:t>
            </w:r>
          </w:p>
        </w:tc>
        <w:tc>
          <w:tcPr>
            <w:tcW w:type="dxa" w:w="2736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Alternate fruits and vegetables for 60 sec.</w:t>
            </w:r>
          </w:p>
        </w:tc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≥10 alternations; ≤2 intrusions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&lt;5 alternations; category perseveration; cognitive rigidity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5–8 alternations with intrusion errors; set-shifting vulnerability; CEN degradation</w:t>
            </w:r>
          </w:p>
        </w:tc>
        <w:tc>
          <w:tcPr>
            <w:tcW w:type="dxa" w:w="86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</w:tbl>
    <w:p/>
    <w:p>
      <w:pPr>
        <w:shd w:val="clear" w:color="auto" w:fill="7B2D8E"/>
        <w:spacing w:before="80" w:after="120"/>
      </w:pPr>
      <w:r>
        <w:rPr>
          <w:rFonts w:ascii="Calibri" w:hAnsi="Calibri"/>
          <w:b/>
          <w:i w:val="0"/>
          <w:color w:val="FFFFFF"/>
          <w:sz w:val="20"/>
        </w:rPr>
        <w:t xml:space="preserve">🟣 FNON NOTE: </w:t>
      </w:r>
      <w:r>
        <w:rPr>
          <w:rFonts w:ascii="Calibri" w:hAnsi="Calibri"/>
          <w:b w:val="0"/>
          <w:i w:val="0"/>
          <w:color w:val="FFFFFF"/>
          <w:sz w:val="20"/>
        </w:rPr>
        <w:t>Alzheimer's Relevance: CEN becomes progressively HYPOACTIVE as AD advances. Executive dysfunction, poor working memory, and impaired semantic retrieval reflect frontal-parietal network failure. MCI may show preserved CEN with isolated DMN dysfunction — critical for early staging.</w:t>
      </w:r>
    </w:p>
    <w:p>
      <w:pPr>
        <w:spacing w:after="160"/>
      </w:pPr>
      <w:r>
        <w:rPr>
          <w:rFonts w:ascii="Calibri" w:hAnsi="Calibri"/>
          <w:b/>
          <w:i w:val="0"/>
          <w:color w:val="1B3A5C"/>
          <w:sz w:val="22"/>
        </w:rPr>
        <w:t>Central Executive Network (CEN/FPN) Total: _____ / 14</w:t>
      </w:r>
    </w:p>
    <w:p>
      <w:pPr>
        <w:spacing w:before="120" w:after="80"/>
      </w:pPr>
      <w:r>
        <w:rPr>
          <w:rFonts w:ascii="Calibri" w:hAnsi="Calibri"/>
          <w:b/>
          <w:i w:val="0"/>
          <w:color w:val="2E75B6"/>
          <w:sz w:val="24"/>
        </w:rPr>
        <w:t>Salience Network (SN) — Max Score: 14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1B3A5C"/>
          <w:left w:val="single" w:sz="4" w:space="0" w:color="1B3A5C"/>
          <w:bottom w:val="single" w:sz="4" w:space="0" w:color="1B3A5C"/>
          <w:right w:val="single" w:sz="4" w:space="0" w:color="1B3A5C"/>
          <w:insideH w:val="single" w:sz="4" w:space="0" w:color="1B3A5C"/>
          <w:insideV w:val="single" w:sz="4" w:space="0" w:color="1B3A5C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84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Bedside Test</w:t>
            </w:r>
          </w:p>
        </w:tc>
        <w:tc>
          <w:tcPr>
            <w:tcW w:type="dxa" w:w="2736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How to Perform</w:t>
            </w:r>
          </w:p>
        </w:tc>
        <w:tc>
          <w:tcPr>
            <w:tcW w:type="dxa" w:w="1584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Normal</w:t>
            </w:r>
          </w:p>
        </w:tc>
        <w:tc>
          <w:tcPr>
            <w:tcW w:type="dxa" w:w="1872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HYPO (1)</w:t>
            </w:r>
          </w:p>
        </w:tc>
        <w:tc>
          <w:tcPr>
            <w:tcW w:type="dxa" w:w="1872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HYPER (2)</w:t>
            </w:r>
          </w:p>
        </w:tc>
        <w:tc>
          <w:tcPr>
            <w:tcW w:type="dxa" w:w="864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Score</w:t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Error Monitoring</w:t>
            </w:r>
          </w:p>
        </w:tc>
        <w:tc>
          <w:tcPr>
            <w:tcW w:type="dxa" w:w="2736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Read sentence with 2 errors. Note whether patient self-corrects.</w:t>
            </w:r>
          </w:p>
        </w:tc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Spontaneously catches ≥1 error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Misses both; unconcerned; anosognosia pattern; AD-specific SN failure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Catches errors but excessively distressed; MCI hypervigilance to mistakes</w:t>
            </w:r>
          </w:p>
        </w:tc>
        <w:tc>
          <w:tcPr>
            <w:tcW w:type="dxa" w:w="86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Anosognosia Screen</w:t>
            </w:r>
          </w:p>
        </w:tc>
        <w:tc>
          <w:tcPr>
            <w:tcW w:type="dxa" w:w="2736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Ask: 'Do you notice any memory changes?' Then ask family/caregiver same question. Note discrepancy.</w:t>
            </w:r>
          </w:p>
        </w:tc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Acknowledges memory changes appropriately; insight preserved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Denies memory problems despite clear deficits; anosognosia; AD SN failure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Over-reports deficits beyond what's observed; MCI anxiety amplification</w:t>
            </w:r>
          </w:p>
        </w:tc>
        <w:tc>
          <w:tcPr>
            <w:tcW w:type="dxa" w:w="86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Threat Appraisal</w:t>
            </w:r>
          </w:p>
        </w:tc>
        <w:tc>
          <w:tcPr>
            <w:tcW w:type="dxa" w:w="2736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3 ambiguous social scenarios. Rate threat 0–10.</w:t>
            </w:r>
          </w:p>
        </w:tc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Appropriate ratings 2–5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Inappropriately low ratings; poor threat detection; social unawareness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Inappropriately high ratings; catastrophic interpretation; behavioral AD</w:t>
            </w:r>
          </w:p>
        </w:tc>
        <w:tc>
          <w:tcPr>
            <w:tcW w:type="dxa" w:w="86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Sensory Switching</w:t>
            </w:r>
          </w:p>
        </w:tc>
        <w:tc>
          <w:tcPr>
            <w:tcW w:type="dxa" w:w="2736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Alternate visual tracking and auditory counting. Measure switch accuracy.</w:t>
            </w:r>
          </w:p>
        </w:tc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Switch delay &lt;2 sec; smooth transitions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Slow switching; loses task set; executive perseveration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Cannot disengage from first task; perseveration; AD frontal release</w:t>
            </w:r>
          </w:p>
        </w:tc>
        <w:tc>
          <w:tcPr>
            <w:tcW w:type="dxa" w:w="86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Orienting Response</w:t>
            </w:r>
          </w:p>
        </w:tc>
        <w:tc>
          <w:tcPr>
            <w:tcW w:type="dxa" w:w="2736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Unexpected auditory tone mid-task. Observe behavioral interruption.</w:t>
            </w:r>
          </w:p>
        </w:tc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Brief interruption; reorientation within 3 sec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No orienting; flat response; disengagement; advanced AD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Exaggerated startle; prolonged recovery; behavioral BPSD pattern</w:t>
            </w:r>
          </w:p>
        </w:tc>
        <w:tc>
          <w:tcPr>
            <w:tcW w:type="dxa" w:w="86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Pain Sensitivity</w:t>
            </w:r>
          </w:p>
        </w:tc>
        <w:tc>
          <w:tcPr>
            <w:tcW w:type="dxa" w:w="2736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Light fingernail pressure 3 sec. Rate 0–10.</w:t>
            </w:r>
          </w:p>
        </w:tc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Rating 3–6; bilateral symmetry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Low ratings; poor somatic awareness; advanced AD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Normal rating but forgets pain stimulus immediately; episodic binding failure</w:t>
            </w:r>
          </w:p>
        </w:tc>
        <w:tc>
          <w:tcPr>
            <w:tcW w:type="dxa" w:w="86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Emotional Salience Rating</w:t>
            </w:r>
          </w:p>
        </w:tc>
        <w:tc>
          <w:tcPr>
            <w:tcW w:type="dxa" w:w="2736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Rate 6 emotional and 6 neutral images for personal salience 0–10.</w:t>
            </w:r>
          </w:p>
        </w:tc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Balanced ratings; appropriate differentiation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Flat ratings; emotional blunting; advanced AD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Exaggerated emotional responses; BPSD pattern; behavioral AD variant</w:t>
            </w:r>
          </w:p>
        </w:tc>
        <w:tc>
          <w:tcPr>
            <w:tcW w:type="dxa" w:w="86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</w:tbl>
    <w:p/>
    <w:p>
      <w:pPr>
        <w:shd w:val="clear" w:color="auto" w:fill="7B2D8E"/>
        <w:spacing w:before="80" w:after="120"/>
      </w:pPr>
      <w:r>
        <w:rPr>
          <w:rFonts w:ascii="Calibri" w:hAnsi="Calibri"/>
          <w:b/>
          <w:i w:val="0"/>
          <w:color w:val="FFFFFF"/>
          <w:sz w:val="20"/>
        </w:rPr>
        <w:t xml:space="preserve">🟣 FNON NOTE: </w:t>
      </w:r>
      <w:r>
        <w:rPr>
          <w:rFonts w:ascii="Calibri" w:hAnsi="Calibri"/>
          <w:b w:val="0"/>
          <w:i w:val="0"/>
          <w:color w:val="FFFFFF"/>
          <w:sz w:val="20"/>
        </w:rPr>
        <w:t>Alzheimer's Relevance: SN shows complex dysfunction in AD: HYPO error monitoring (poor self-correction of errors) alongside HYPO salience discrimination (unable to identify what's important in environment). Late-stage HYPER may emerge as behavioral symptoms (agitation, wandering).</w:t>
      </w:r>
    </w:p>
    <w:p>
      <w:pPr>
        <w:spacing w:after="160"/>
      </w:pPr>
      <w:r>
        <w:rPr>
          <w:rFonts w:ascii="Calibri" w:hAnsi="Calibri"/>
          <w:b/>
          <w:i w:val="0"/>
          <w:color w:val="1B3A5C"/>
          <w:sz w:val="22"/>
        </w:rPr>
        <w:t>Salience Network (SN) Total: _____ / 14</w:t>
      </w:r>
    </w:p>
    <w:p>
      <w:pPr>
        <w:spacing w:before="120" w:after="80"/>
      </w:pPr>
      <w:r>
        <w:rPr>
          <w:rFonts w:ascii="Calibri" w:hAnsi="Calibri"/>
          <w:b/>
          <w:i w:val="0"/>
          <w:color w:val="2E75B6"/>
          <w:sz w:val="24"/>
        </w:rPr>
        <w:t>Sensorimotor Network (SMN) — Max Score: 16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1B3A5C"/>
          <w:left w:val="single" w:sz="4" w:space="0" w:color="1B3A5C"/>
          <w:bottom w:val="single" w:sz="4" w:space="0" w:color="1B3A5C"/>
          <w:right w:val="single" w:sz="4" w:space="0" w:color="1B3A5C"/>
          <w:insideH w:val="single" w:sz="4" w:space="0" w:color="1B3A5C"/>
          <w:insideV w:val="single" w:sz="4" w:space="0" w:color="1B3A5C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84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Bedside Test</w:t>
            </w:r>
          </w:p>
        </w:tc>
        <w:tc>
          <w:tcPr>
            <w:tcW w:type="dxa" w:w="2736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How to Perform</w:t>
            </w:r>
          </w:p>
        </w:tc>
        <w:tc>
          <w:tcPr>
            <w:tcW w:type="dxa" w:w="1584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Normal</w:t>
            </w:r>
          </w:p>
        </w:tc>
        <w:tc>
          <w:tcPr>
            <w:tcW w:type="dxa" w:w="1872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HYPO (1)</w:t>
            </w:r>
          </w:p>
        </w:tc>
        <w:tc>
          <w:tcPr>
            <w:tcW w:type="dxa" w:w="1872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HYPER (2)</w:t>
            </w:r>
          </w:p>
        </w:tc>
        <w:tc>
          <w:tcPr>
            <w:tcW w:type="dxa" w:w="864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Score</w:t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Finger Tapping Rate</w:t>
            </w:r>
          </w:p>
        </w:tc>
        <w:tc>
          <w:tcPr>
            <w:tcW w:type="dxa" w:w="2736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Index finger tapping 10 sec each hand. Count and note rhythm.</w:t>
            </w:r>
          </w:p>
        </w:tc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≥45 taps/10 sec; regular rhythm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&lt;35 taps; motor slowing; moderate-severe AD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Normal rate but irregular rhythm; motor impersistence</w:t>
            </w:r>
          </w:p>
        </w:tc>
        <w:tc>
          <w:tcPr>
            <w:tcW w:type="dxa" w:w="86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Grip Assessment</w:t>
            </w:r>
          </w:p>
        </w:tc>
        <w:tc>
          <w:tcPr>
            <w:tcW w:type="dxa" w:w="2736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Bilateral squeeze of examiner's fingers.</w:t>
            </w:r>
          </w:p>
        </w:tc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Firm symmetric grip; smooth release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Weak bilateral grip; reduced motor drive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Normal grip but primitive grasp reflex present; frontal release sign</w:t>
            </w:r>
          </w:p>
        </w:tc>
        <w:tc>
          <w:tcPr>
            <w:tcW w:type="dxa" w:w="86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Fine Motor Sequencing</w:t>
            </w:r>
          </w:p>
        </w:tc>
        <w:tc>
          <w:tcPr>
            <w:tcW w:type="dxa" w:w="2736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Thumb-to-finger opposition 10 sec.</w:t>
            </w:r>
          </w:p>
        </w:tc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≥4 complete sequences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≤2 sequences; forgets sequence mid-task; working memory-motor failure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3–4 sequences but perseverative; repeats first finger pair repeatedly</w:t>
            </w:r>
          </w:p>
        </w:tc>
        <w:tc>
          <w:tcPr>
            <w:tcW w:type="dxa" w:w="86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Tandem Gait</w:t>
            </w:r>
          </w:p>
        </w:tc>
        <w:tc>
          <w:tcPr>
            <w:tcW w:type="dxa" w:w="2736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Heel-to-toe walk 10 steps.</w:t>
            </w:r>
          </w:p>
        </w:tc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≤1 step off; consistent pace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Multiple failures; wide-based; gait apraxia; moderate-severe AD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Slow but intact; mild gait hesitancy; MCI motor vulnerability</w:t>
            </w:r>
          </w:p>
        </w:tc>
        <w:tc>
          <w:tcPr>
            <w:tcW w:type="dxa" w:w="86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Romberg Test</w:t>
            </w:r>
          </w:p>
        </w:tc>
        <w:tc>
          <w:tcPr>
            <w:tcW w:type="dxa" w:w="2736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Feet together eyes closed 30 sec.</w:t>
            </w:r>
          </w:p>
        </w:tc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Minimal sway; stable 30 sec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Excessive sway; falls; requires support; motor system involvement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Mild sway; compensatory widening of stance; balance vulnerability</w:t>
            </w:r>
          </w:p>
        </w:tc>
        <w:tc>
          <w:tcPr>
            <w:tcW w:type="dxa" w:w="86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Rapid Alternating Movements</w:t>
            </w:r>
          </w:p>
        </w:tc>
        <w:tc>
          <w:tcPr>
            <w:tcW w:type="dxa" w:w="2736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Pronate/supinate 10 sec. Note rhythm.</w:t>
            </w:r>
          </w:p>
        </w:tc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Regular rhythm; ≥12 cycles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Dysdiadochokinesia; slow; irregular; extrapyramidal involvement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Slightly irregular; mildly slowed; early motor system involvement</w:t>
            </w:r>
          </w:p>
        </w:tc>
        <w:tc>
          <w:tcPr>
            <w:tcW w:type="dxa" w:w="86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Writing Sample</w:t>
            </w:r>
          </w:p>
        </w:tc>
        <w:tc>
          <w:tcPr>
            <w:tcW w:type="dxa" w:w="2736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Write name and address; draw circles.</w:t>
            </w:r>
          </w:p>
        </w:tc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Legible; organized; consistent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Micrographia; cannot write name; severe AD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Spelling errors; writing tremor; mild motor degradation; MCI marker</w:t>
            </w:r>
          </w:p>
        </w:tc>
        <w:tc>
          <w:tcPr>
            <w:tcW w:type="dxa" w:w="86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Gait Speed</w:t>
            </w:r>
          </w:p>
        </w:tc>
        <w:tc>
          <w:tcPr>
            <w:tcW w:type="dxa" w:w="2736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Walk 3 meters at comfortable pace. Time it. (Slow gait predicts AD progression.)</w:t>
            </w:r>
          </w:p>
        </w:tc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&lt;5 sec for 3 m (&gt;0.6 m/sec)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&gt;8 sec; slow gait (&lt;0.6 m/sec); motor involvement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5–7 sec; borderline gait speed; MCI-motor overlap</w:t>
            </w:r>
          </w:p>
        </w:tc>
        <w:tc>
          <w:tcPr>
            <w:tcW w:type="dxa" w:w="86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</w:tbl>
    <w:p/>
    <w:p>
      <w:pPr>
        <w:shd w:val="clear" w:color="auto" w:fill="7B2D8E"/>
        <w:spacing w:before="80" w:after="120"/>
      </w:pPr>
      <w:r>
        <w:rPr>
          <w:rFonts w:ascii="Calibri" w:hAnsi="Calibri"/>
          <w:b/>
          <w:i w:val="0"/>
          <w:color w:val="FFFFFF"/>
          <w:sz w:val="20"/>
        </w:rPr>
        <w:t xml:space="preserve">🟣 FNON NOTE: </w:t>
      </w:r>
      <w:r>
        <w:rPr>
          <w:rFonts w:ascii="Calibri" w:hAnsi="Calibri"/>
          <w:b w:val="0"/>
          <w:i w:val="0"/>
          <w:color w:val="FFFFFF"/>
          <w:sz w:val="20"/>
        </w:rPr>
        <w:t>Alzheimer's Relevance: SMN remains relatively spared in early AD but shows progressive HYPO as disease advances: reduced gait speed, balance impairment, and extrapyramidal signs in moderate-severe stages. Motor preservation in early disease helps differentiate AD from DLB.</w:t>
      </w:r>
    </w:p>
    <w:p>
      <w:pPr>
        <w:spacing w:after="160"/>
      </w:pPr>
      <w:r>
        <w:rPr>
          <w:rFonts w:ascii="Calibri" w:hAnsi="Calibri"/>
          <w:b/>
          <w:i w:val="0"/>
          <w:color w:val="1B3A5C"/>
          <w:sz w:val="22"/>
        </w:rPr>
        <w:t>Sensorimotor Network (SMN) Total: _____ / 16</w:t>
      </w:r>
    </w:p>
    <w:p>
      <w:pPr>
        <w:spacing w:before="120" w:after="80"/>
      </w:pPr>
      <w:r>
        <w:rPr>
          <w:rFonts w:ascii="Calibri" w:hAnsi="Calibri"/>
          <w:b/>
          <w:i w:val="0"/>
          <w:color w:val="2E75B6"/>
          <w:sz w:val="24"/>
        </w:rPr>
        <w:t>Limbic / Emotional Network — Max Score: 14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1B3A5C"/>
          <w:left w:val="single" w:sz="4" w:space="0" w:color="1B3A5C"/>
          <w:bottom w:val="single" w:sz="4" w:space="0" w:color="1B3A5C"/>
          <w:right w:val="single" w:sz="4" w:space="0" w:color="1B3A5C"/>
          <w:insideH w:val="single" w:sz="4" w:space="0" w:color="1B3A5C"/>
          <w:insideV w:val="single" w:sz="4" w:space="0" w:color="1B3A5C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84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Bedside Test</w:t>
            </w:r>
          </w:p>
        </w:tc>
        <w:tc>
          <w:tcPr>
            <w:tcW w:type="dxa" w:w="2736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How to Perform</w:t>
            </w:r>
          </w:p>
        </w:tc>
        <w:tc>
          <w:tcPr>
            <w:tcW w:type="dxa" w:w="1584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Normal</w:t>
            </w:r>
          </w:p>
        </w:tc>
        <w:tc>
          <w:tcPr>
            <w:tcW w:type="dxa" w:w="1872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HYPO (1)</w:t>
            </w:r>
          </w:p>
        </w:tc>
        <w:tc>
          <w:tcPr>
            <w:tcW w:type="dxa" w:w="1872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HYPER (2)</w:t>
            </w:r>
          </w:p>
        </w:tc>
        <w:tc>
          <w:tcPr>
            <w:tcW w:type="dxa" w:w="864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Score</w:t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Emotional Face Recognition</w:t>
            </w:r>
          </w:p>
        </w:tc>
        <w:tc>
          <w:tcPr>
            <w:tcW w:type="dxa" w:w="2736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Identify 6 emotions from facial photos. Score /6.</w:t>
            </w:r>
          </w:p>
        </w:tc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≥5/6 correct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&lt;4/6; emotional agnosia; advancing AD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4–5/6 with hesitation; relies on prominent features; MCI affect recognition</w:t>
            </w:r>
          </w:p>
        </w:tc>
        <w:tc>
          <w:tcPr>
            <w:tcW w:type="dxa" w:w="86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Affect Labeling</w:t>
            </w:r>
          </w:p>
        </w:tc>
        <w:tc>
          <w:tcPr>
            <w:tcW w:type="dxa" w:w="2736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3 emotional scenarios. Name own response.</w:t>
            </w:r>
          </w:p>
        </w:tc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Accurate, differentiated labels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Flat labels; 'nothing'; poor affect awareness; emotional blunting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Appropriate labels but disconnected from personal relevance; semantic-emotional dissociation</w:t>
            </w:r>
          </w:p>
        </w:tc>
        <w:tc>
          <w:tcPr>
            <w:tcW w:type="dxa" w:w="86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Emotional Memory</w:t>
            </w:r>
          </w:p>
        </w:tc>
        <w:tc>
          <w:tcPr>
            <w:tcW w:type="dxa" w:w="2736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10 emotional and 10 neutral words. Free recall after 5-min distractor.</w:t>
            </w:r>
          </w:p>
        </w:tc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Emotional advantage: ≥8 emotional recalled vs ≥6 neutral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Flat recall; lost emotional memory enhancement; limbic-hippocampal failure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Emotional words recalled but patient cannot recall context of learning; binding failure</w:t>
            </w:r>
          </w:p>
        </w:tc>
        <w:tc>
          <w:tcPr>
            <w:tcW w:type="dxa" w:w="86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Fear Response</w:t>
            </w:r>
          </w:p>
        </w:tc>
        <w:tc>
          <w:tcPr>
            <w:tcW w:type="dxa" w:w="2736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3 threatening scenarios. Rate anxiety 0–10.</w:t>
            </w:r>
          </w:p>
        </w:tc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Anxiety 4–7; proportionate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Flat ≤2; blunted fear; emotional blunting; moderate AD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Extreme ≥8; behavioral AD; agitation; catastrophic emotional response</w:t>
            </w:r>
          </w:p>
        </w:tc>
        <w:tc>
          <w:tcPr>
            <w:tcW w:type="dxa" w:w="86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Reward Sensitivity — Apathy</w:t>
            </w:r>
          </w:p>
        </w:tc>
        <w:tc>
          <w:tcPr>
            <w:tcW w:type="dxa" w:w="2736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Rate interest in 5 previously enjoyed activities 0–10.</w:t>
            </w:r>
          </w:p>
        </w:tc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Average ≥6/10; motivation preserved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Average ≤3/10; apathy; loss of initiative; AD behavioral symptom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Average ≥7 but patient forgets having been asked; episodic memory failure</w:t>
            </w:r>
          </w:p>
        </w:tc>
        <w:tc>
          <w:tcPr>
            <w:tcW w:type="dxa" w:w="86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Caregiver Emotional Burden Screen</w:t>
            </w:r>
          </w:p>
        </w:tc>
        <w:tc>
          <w:tcPr>
            <w:tcW w:type="dxa" w:w="2736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Ask patient: 'How do you feel about needing help with daily tasks?' Note: awareness, emotional response, and coping.</w:t>
            </w:r>
          </w:p>
        </w:tc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Acknowledges need for help; appropriate adjustment affect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Denies need for help; anosognosia; no emotional response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Extreme distress; catastrophic emotional response to acknowledgment; MCI anxiety</w:t>
            </w:r>
          </w:p>
        </w:tc>
        <w:tc>
          <w:tcPr>
            <w:tcW w:type="dxa" w:w="86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Affective Flexibility</w:t>
            </w:r>
          </w:p>
        </w:tc>
        <w:tc>
          <w:tcPr>
            <w:tcW w:type="dxa" w:w="2736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Sad then happy memory recall. Rate mood before/after.</w:t>
            </w:r>
          </w:p>
        </w:tc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Mood shift ≥3 points; recovery within 3 min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Flat across both; emotional blunting; advanced AD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Stuck in sad mood; cannot access positive state; limbic rigidity</w:t>
            </w:r>
          </w:p>
        </w:tc>
        <w:tc>
          <w:tcPr>
            <w:tcW w:type="dxa" w:w="86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</w:tbl>
    <w:p/>
    <w:p>
      <w:pPr>
        <w:shd w:val="clear" w:color="auto" w:fill="7B2D8E"/>
        <w:spacing w:before="80" w:after="120"/>
      </w:pPr>
      <w:r>
        <w:rPr>
          <w:rFonts w:ascii="Calibri" w:hAnsi="Calibri"/>
          <w:b/>
          <w:i w:val="0"/>
          <w:color w:val="FFFFFF"/>
          <w:sz w:val="20"/>
        </w:rPr>
        <w:t xml:space="preserve">🟣 FNON NOTE: </w:t>
      </w:r>
      <w:r>
        <w:rPr>
          <w:rFonts w:ascii="Calibri" w:hAnsi="Calibri"/>
          <w:b w:val="0"/>
          <w:i w:val="0"/>
          <w:color w:val="FFFFFF"/>
          <w:sz w:val="20"/>
        </w:rPr>
        <w:t>Alzheimer's Relevance: Medial temporal lobe degeneration causes profound LIMBIC HYPO: episodic memory failure, emotional memory loss, and reduced affective response. In behavioral variant, paradoxical HYPER emotional reactions (apathy, agitation) may alternate.</w:t>
      </w:r>
    </w:p>
    <w:p>
      <w:pPr>
        <w:spacing w:after="160"/>
      </w:pPr>
      <w:r>
        <w:rPr>
          <w:rFonts w:ascii="Calibri" w:hAnsi="Calibri"/>
          <w:b/>
          <w:i w:val="0"/>
          <w:color w:val="1B3A5C"/>
          <w:sz w:val="22"/>
        </w:rPr>
        <w:t>Limbic / Emotional Network Total: _____ / 14</w:t>
      </w:r>
    </w:p>
    <w:p>
      <w:pPr>
        <w:spacing w:before="120" w:after="80"/>
      </w:pPr>
      <w:r>
        <w:rPr>
          <w:rFonts w:ascii="Calibri" w:hAnsi="Calibri"/>
          <w:b/>
          <w:i w:val="0"/>
          <w:color w:val="2E75B6"/>
          <w:sz w:val="24"/>
        </w:rPr>
        <w:t>Attention Networks (DAN/VAN) — Max Score: 16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1B3A5C"/>
          <w:left w:val="single" w:sz="4" w:space="0" w:color="1B3A5C"/>
          <w:bottom w:val="single" w:sz="4" w:space="0" w:color="1B3A5C"/>
          <w:right w:val="single" w:sz="4" w:space="0" w:color="1B3A5C"/>
          <w:insideH w:val="single" w:sz="4" w:space="0" w:color="1B3A5C"/>
          <w:insideV w:val="single" w:sz="4" w:space="0" w:color="1B3A5C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84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Bedside Test</w:t>
            </w:r>
          </w:p>
        </w:tc>
        <w:tc>
          <w:tcPr>
            <w:tcW w:type="dxa" w:w="2736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How to Perform</w:t>
            </w:r>
          </w:p>
        </w:tc>
        <w:tc>
          <w:tcPr>
            <w:tcW w:type="dxa" w:w="1584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Normal</w:t>
            </w:r>
          </w:p>
        </w:tc>
        <w:tc>
          <w:tcPr>
            <w:tcW w:type="dxa" w:w="1872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HYPO (1)</w:t>
            </w:r>
          </w:p>
        </w:tc>
        <w:tc>
          <w:tcPr>
            <w:tcW w:type="dxa" w:w="1872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HYPER (2)</w:t>
            </w:r>
          </w:p>
        </w:tc>
        <w:tc>
          <w:tcPr>
            <w:tcW w:type="dxa" w:w="864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Score</w:t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Sustained Attention</w:t>
            </w:r>
          </w:p>
        </w:tc>
        <w:tc>
          <w:tcPr>
            <w:tcW w:type="dxa" w:w="2736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Count backward from 50 for 60 sec. Note fadeouts.</w:t>
            </w:r>
          </w:p>
        </w:tc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≤2 errors; consistent pace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Frequent pauses; fails to sustain; moderate AD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Monotonous slow count; perseverative; effortful but sustained</w:t>
            </w:r>
          </w:p>
        </w:tc>
        <w:tc>
          <w:tcPr>
            <w:tcW w:type="dxa" w:w="86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Selective Attention</w:t>
            </w:r>
          </w:p>
        </w:tc>
        <w:tc>
          <w:tcPr>
            <w:tcW w:type="dxa" w:w="2736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Circle all A's in 20-item letter list.</w:t>
            </w:r>
          </w:p>
        </w:tc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&lt;60 sec; ≤3 errors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Slow; misses target; omissions; attentional failure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Normal time but multiple false alarms; poor response inhibition</w:t>
            </w:r>
          </w:p>
        </w:tc>
        <w:tc>
          <w:tcPr>
            <w:tcW w:type="dxa" w:w="86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Visual Cancellation</w:t>
            </w:r>
          </w:p>
        </w:tc>
        <w:tc>
          <w:tcPr>
            <w:tcW w:type="dxa" w:w="2736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Cross out all circles on mixed-shape sheet. Systematic search?</w:t>
            </w:r>
          </w:p>
        </w:tc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Systematic row-by-row; &lt;60 sec; ≤3 errors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Random or incomplete; gives up; severe attentional failure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Systematic but extreme slowing; compensatory strategy use; MCI</w:t>
            </w:r>
          </w:p>
        </w:tc>
        <w:tc>
          <w:tcPr>
            <w:tcW w:type="dxa" w:w="86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Spatial Attention — Line Bisection</w:t>
            </w:r>
          </w:p>
        </w:tc>
        <w:tc>
          <w:tcPr>
            <w:tcW w:type="dxa" w:w="2736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Bisect a 20cm horizontal line. Measure deviation from center.</w:t>
            </w:r>
          </w:p>
        </w:tc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Within ±1 cm of center; bilateral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Deviation &gt;2 cm right (left hemisphere): contralateral attention failure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Deviation &gt;2 cm left (right hemisphere): ipsilateral attention bias; AD parietal</w:t>
            </w:r>
          </w:p>
        </w:tc>
        <w:tc>
          <w:tcPr>
            <w:tcW w:type="dxa" w:w="86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Alerting Response</w:t>
            </w:r>
          </w:p>
        </w:tc>
        <w:tc>
          <w:tcPr>
            <w:tcW w:type="dxa" w:w="2736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Say 'ready' before stimulus. Assess preparatory readiness.</w:t>
            </w:r>
          </w:p>
        </w:tc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Appropriate alerting; focused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Absent alerting; no preparatory response; disengaged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Normal alerting but immediately forgets set; sustained alerting failure</w:t>
            </w:r>
          </w:p>
        </w:tc>
        <w:tc>
          <w:tcPr>
            <w:tcW w:type="dxa" w:w="86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Orienting — Spatial Cue</w:t>
            </w:r>
          </w:p>
        </w:tc>
        <w:tc>
          <w:tcPr>
            <w:tcW w:type="dxa" w:w="2736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Arrow cue before target location. Orienting benefit and disengagement.</w:t>
            </w:r>
          </w:p>
        </w:tc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Orienting benefit ≥100 ms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Absent orienting benefit; poor spatial attention; parietal failure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Cannot disengage from invalid cue; perseverative orienting; frontal-parietal failure</w:t>
            </w:r>
          </w:p>
        </w:tc>
        <w:tc>
          <w:tcPr>
            <w:tcW w:type="dxa" w:w="86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Response Inhibition Cancel</w:t>
            </w:r>
          </w:p>
        </w:tc>
        <w:tc>
          <w:tcPr>
            <w:tcW w:type="dxa" w:w="2736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Cancel circles on mixed-shape sheet.</w:t>
            </w:r>
          </w:p>
        </w:tc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&lt;60 sec; ≤2 errors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Slow; multiple omissions; poor initiation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Multiple false cancellations; cannot inhibit non-target responses</w:t>
            </w:r>
          </w:p>
        </w:tc>
        <w:tc>
          <w:tcPr>
            <w:tcW w:type="dxa" w:w="86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Attentional Fatigue</w:t>
            </w:r>
          </w:p>
        </w:tc>
        <w:tc>
          <w:tcPr>
            <w:tcW w:type="dxa" w:w="2736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Letter cancellation 5 min; compare halves.</w:t>
            </w:r>
          </w:p>
        </w:tc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Drop &lt;15%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Large drop &gt;40%; rapid fatigue; AD attentional depletion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Consistent slowing throughout; no fatigue but no speed either; flat trajectory</w:t>
            </w:r>
          </w:p>
        </w:tc>
        <w:tc>
          <w:tcPr>
            <w:tcW w:type="dxa" w:w="86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</w:tbl>
    <w:p/>
    <w:p>
      <w:pPr>
        <w:shd w:val="clear" w:color="auto" w:fill="7B2D8E"/>
        <w:spacing w:before="80" w:after="120"/>
      </w:pPr>
      <w:r>
        <w:rPr>
          <w:rFonts w:ascii="Calibri" w:hAnsi="Calibri"/>
          <w:b/>
          <w:i w:val="0"/>
          <w:color w:val="FFFFFF"/>
          <w:sz w:val="20"/>
        </w:rPr>
        <w:t xml:space="preserve">🟣 FNON NOTE: </w:t>
      </w:r>
      <w:r>
        <w:rPr>
          <w:rFonts w:ascii="Calibri" w:hAnsi="Calibri"/>
          <w:b w:val="0"/>
          <w:i w:val="0"/>
          <w:color w:val="FFFFFF"/>
          <w:sz w:val="20"/>
        </w:rPr>
        <w:t>Alzheimer's Relevance: Attention networks show progressive HYPO: visuospatial attention, spatial orientation, and sustained attention all degrade. Parietal degeneration disrupts DAN function; executive-attention dysregulation impairs VAN response inhibition.</w:t>
      </w:r>
    </w:p>
    <w:p>
      <w:pPr>
        <w:spacing w:after="160"/>
      </w:pPr>
      <w:r>
        <w:rPr>
          <w:rFonts w:ascii="Calibri" w:hAnsi="Calibri"/>
          <w:b/>
          <w:i w:val="0"/>
          <w:color w:val="1B3A5C"/>
          <w:sz w:val="22"/>
        </w:rPr>
        <w:t>Attention Networks (DAN/VAN) Total: _____ / 16</w:t>
      </w:r>
    </w:p>
    <w:p>
      <w:pPr>
        <w:spacing w:before="200" w:after="80"/>
      </w:pPr>
      <w:r>
        <w:rPr>
          <w:rFonts w:ascii="Calibri" w:hAnsi="Calibri"/>
          <w:b/>
          <w:i w:val="0"/>
          <w:color w:val="1B3A5C"/>
          <w:sz w:val="28"/>
        </w:rPr>
        <w:t>Network Summary Profile</w:t>
      </w:r>
    </w:p>
    <w:p>
      <w:pPr>
        <w:shd w:val="clear" w:color="auto" w:fill="7B2D8E"/>
        <w:spacing w:before="80" w:after="120"/>
      </w:pPr>
      <w:r>
        <w:rPr>
          <w:rFonts w:ascii="Calibri" w:hAnsi="Calibri"/>
          <w:b/>
          <w:i w:val="0"/>
          <w:color w:val="FFFFFF"/>
          <w:sz w:val="20"/>
        </w:rPr>
        <w:t xml:space="preserve">🟣 FNON NOTE: </w:t>
      </w:r>
      <w:r>
        <w:rPr>
          <w:rFonts w:ascii="Calibri" w:hAnsi="Calibri"/>
          <w:b w:val="0"/>
          <w:i w:val="0"/>
          <w:color w:val="FFFFFF"/>
          <w:sz w:val="20"/>
        </w:rPr>
        <w:t>Map network scores to phenotype for FNON-based montage and protocol selection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1B3A5C"/>
          <w:left w:val="single" w:sz="4" w:space="0" w:color="1B3A5C"/>
          <w:bottom w:val="single" w:sz="4" w:space="0" w:color="1B3A5C"/>
          <w:right w:val="single" w:sz="4" w:space="0" w:color="1B3A5C"/>
          <w:insideH w:val="single" w:sz="4" w:space="0" w:color="1B3A5C"/>
          <w:insideV w:val="single" w:sz="4" w:space="0" w:color="1B3A5C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Network</w:t>
            </w:r>
          </w:p>
        </w:tc>
        <w:tc>
          <w:tcPr>
            <w:tcW w:type="dxa" w:w="1560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Max Score</w:t>
            </w:r>
          </w:p>
        </w:tc>
        <w:tc>
          <w:tcPr>
            <w:tcW w:type="dxa" w:w="1560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Raw Score</w:t>
            </w:r>
          </w:p>
        </w:tc>
        <w:tc>
          <w:tcPr>
            <w:tcW w:type="dxa" w:w="1560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% of Max</w:t>
            </w:r>
          </w:p>
        </w:tc>
        <w:tc>
          <w:tcPr>
            <w:tcW w:type="dxa" w:w="1560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Dysfunction Pattern</w:t>
            </w:r>
          </w:p>
        </w:tc>
        <w:tc>
          <w:tcPr>
            <w:tcW w:type="dxa" w:w="1560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Priority</w:t>
            </w:r>
          </w:p>
        </w:tc>
      </w:tr>
      <w:tr>
        <w:tc>
          <w:tcPr>
            <w:tcW w:type="dxa" w:w="1560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Default Mode Network (DMN)</w:t>
            </w:r>
          </w:p>
        </w:tc>
        <w:tc>
          <w:tcPr>
            <w:tcW w:type="dxa" w:w="1560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14</w:t>
            </w:r>
          </w:p>
        </w:tc>
        <w:tc>
          <w:tcPr>
            <w:tcW w:type="dxa" w:w="1560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  <w:tc>
          <w:tcPr>
            <w:tcW w:type="dxa" w:w="1560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  <w:tc>
          <w:tcPr>
            <w:tcW w:type="dxa" w:w="1560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  <w:tc>
          <w:tcPr>
            <w:tcW w:type="dxa" w:w="1560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60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Central Executive Network (CEN/FPN)</w:t>
            </w:r>
          </w:p>
        </w:tc>
        <w:tc>
          <w:tcPr>
            <w:tcW w:type="dxa" w:w="1560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14</w:t>
            </w:r>
          </w:p>
        </w:tc>
        <w:tc>
          <w:tcPr>
            <w:tcW w:type="dxa" w:w="1560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  <w:tc>
          <w:tcPr>
            <w:tcW w:type="dxa" w:w="1560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  <w:tc>
          <w:tcPr>
            <w:tcW w:type="dxa" w:w="1560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  <w:tc>
          <w:tcPr>
            <w:tcW w:type="dxa" w:w="1560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60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Salience Network (SN)</w:t>
            </w:r>
          </w:p>
        </w:tc>
        <w:tc>
          <w:tcPr>
            <w:tcW w:type="dxa" w:w="1560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14</w:t>
            </w:r>
          </w:p>
        </w:tc>
        <w:tc>
          <w:tcPr>
            <w:tcW w:type="dxa" w:w="1560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  <w:tc>
          <w:tcPr>
            <w:tcW w:type="dxa" w:w="1560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  <w:tc>
          <w:tcPr>
            <w:tcW w:type="dxa" w:w="1560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  <w:tc>
          <w:tcPr>
            <w:tcW w:type="dxa" w:w="1560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60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Sensorimotor Network (SMN)</w:t>
            </w:r>
          </w:p>
        </w:tc>
        <w:tc>
          <w:tcPr>
            <w:tcW w:type="dxa" w:w="1560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16</w:t>
            </w:r>
          </w:p>
        </w:tc>
        <w:tc>
          <w:tcPr>
            <w:tcW w:type="dxa" w:w="1560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  <w:tc>
          <w:tcPr>
            <w:tcW w:type="dxa" w:w="1560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  <w:tc>
          <w:tcPr>
            <w:tcW w:type="dxa" w:w="1560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  <w:tc>
          <w:tcPr>
            <w:tcW w:type="dxa" w:w="1560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60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Limbic / Emotional Network</w:t>
            </w:r>
          </w:p>
        </w:tc>
        <w:tc>
          <w:tcPr>
            <w:tcW w:type="dxa" w:w="1560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14</w:t>
            </w:r>
          </w:p>
        </w:tc>
        <w:tc>
          <w:tcPr>
            <w:tcW w:type="dxa" w:w="1560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  <w:tc>
          <w:tcPr>
            <w:tcW w:type="dxa" w:w="1560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  <w:tc>
          <w:tcPr>
            <w:tcW w:type="dxa" w:w="1560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  <w:tc>
          <w:tcPr>
            <w:tcW w:type="dxa" w:w="1560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60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Attention Networks (DAN/VAN)</w:t>
            </w:r>
          </w:p>
        </w:tc>
        <w:tc>
          <w:tcPr>
            <w:tcW w:type="dxa" w:w="1560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16</w:t>
            </w:r>
          </w:p>
        </w:tc>
        <w:tc>
          <w:tcPr>
            <w:tcW w:type="dxa" w:w="1560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  <w:tc>
          <w:tcPr>
            <w:tcW w:type="dxa" w:w="1560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  <w:tc>
          <w:tcPr>
            <w:tcW w:type="dxa" w:w="1560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  <w:tc>
          <w:tcPr>
            <w:tcW w:type="dxa" w:w="1560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60"/>
            <w:shd w:val="clear" w:color="auto" w:fill="E8D5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18"/>
              </w:rPr>
              <w:t>GRAND TOTAL</w:t>
            </w:r>
          </w:p>
        </w:tc>
        <w:tc>
          <w:tcPr>
            <w:tcW w:type="dxa" w:w="1560"/>
            <w:shd w:val="clear" w:color="auto" w:fill="E8D5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18"/>
              </w:rPr>
              <w:t>88</w:t>
            </w:r>
          </w:p>
        </w:tc>
        <w:tc>
          <w:tcPr>
            <w:tcW w:type="dxa" w:w="1560"/>
            <w:shd w:val="clear" w:color="auto" w:fill="E8D5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18"/>
              </w:rPr>
            </w:r>
          </w:p>
        </w:tc>
        <w:tc>
          <w:tcPr>
            <w:tcW w:type="dxa" w:w="1560"/>
            <w:shd w:val="clear" w:color="auto" w:fill="E8D5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18"/>
              </w:rPr>
            </w:r>
          </w:p>
        </w:tc>
        <w:tc>
          <w:tcPr>
            <w:tcW w:type="dxa" w:w="1560"/>
            <w:shd w:val="clear" w:color="auto" w:fill="E8D5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18"/>
              </w:rPr>
            </w:r>
          </w:p>
        </w:tc>
        <w:tc>
          <w:tcPr>
            <w:tcW w:type="dxa" w:w="1560"/>
            <w:shd w:val="clear" w:color="auto" w:fill="E8D5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18"/>
              </w:rPr>
            </w:r>
          </w:p>
        </w:tc>
      </w:tr>
    </w:tbl>
    <w:p/>
    <w:p>
      <w:r>
        <w:rPr>
          <w:rFonts w:ascii="Calibri" w:hAnsi="Calibri"/>
          <w:b/>
          <w:i w:val="0"/>
          <w:color w:val="1B3A5C"/>
          <w:sz w:val="22"/>
        </w:rPr>
        <w:t xml:space="preserve">Dominant Network Dysfunction: </w:t>
      </w:r>
      <w:r>
        <w:rPr>
          <w:rFonts w:ascii="Calibri" w:hAnsi="Calibri"/>
          <w:b w:val="0"/>
          <w:i w:val="0"/>
          <w:sz w:val="22"/>
        </w:rPr>
        <w:t>_______________________________   Score: _____ / _____</w:t>
      </w:r>
    </w:p>
    <w:p/>
    <w:p>
      <w:r>
        <w:rPr>
          <w:rFonts w:ascii="Calibri" w:hAnsi="Calibri"/>
          <w:b/>
          <w:i w:val="0"/>
          <w:color w:val="1B3A5C"/>
          <w:sz w:val="22"/>
        </w:rPr>
        <w:t xml:space="preserve">Secondary Network: </w:t>
      </w:r>
      <w:r>
        <w:rPr>
          <w:rFonts w:ascii="Calibri" w:hAnsi="Calibri"/>
          <w:b w:val="0"/>
          <w:i w:val="0"/>
          <w:sz w:val="22"/>
        </w:rPr>
        <w:t>_______________________________   Tertiary: _______________________________</w:t>
      </w:r>
    </w:p>
    <w:p/>
    <w:p>
      <w:pPr>
        <w:spacing w:before="200" w:after="80"/>
      </w:pPr>
      <w:r>
        <w:rPr>
          <w:rFonts w:ascii="Calibri" w:hAnsi="Calibri"/>
          <w:b/>
          <w:i w:val="0"/>
          <w:color w:val="1B3A5C"/>
          <w:sz w:val="28"/>
        </w:rPr>
        <w:t>Phenotype Assignment</w:t>
      </w:r>
    </w:p>
    <w:p>
      <w:r>
        <w:rPr>
          <w:rFonts w:ascii="Calibri" w:hAnsi="Calibri"/>
          <w:b w:val="0"/>
          <w:i w:val="0"/>
          <w:sz w:val="22"/>
        </w:rPr>
        <w:t>Alzheimer's phenotypes: (1) AMNESTIC — DMN dominant HYPO (episodic memory); (2) EXECUTIVE — CEN HYPO + frontal variant; (3) POSTERIOR CORTICAL — Attention/SMN HYPO (visuospatial); (4) BEHAVIORAL — Limbic HYPER (agitation, apathy). MCI staging: isolated DMN HYPO = early; multi-network = moderate-advanced.</w:t>
      </w:r>
    </w:p>
    <w:p/>
    <w:p>
      <w:r>
        <w:rPr>
          <w:rFonts w:ascii="Calibri" w:hAnsi="Calibri"/>
          <w:b/>
          <w:i w:val="0"/>
          <w:color w:val="1B3A5C"/>
          <w:sz w:val="22"/>
        </w:rPr>
        <w:t xml:space="preserve">Assigned Phenotype: </w:t>
      </w:r>
      <w:r>
        <w:rPr>
          <w:rFonts w:ascii="Calibri" w:hAnsi="Calibri"/>
          <w:b w:val="0"/>
          <w:i w:val="0"/>
          <w:sz w:val="22"/>
        </w:rPr>
        <w:t>________________________________________</w:t>
      </w:r>
    </w:p>
    <w:p/>
    <w:p>
      <w:r>
        <w:rPr>
          <w:rFonts w:ascii="Calibri" w:hAnsi="Calibri"/>
          <w:b/>
          <w:i w:val="0"/>
          <w:color w:val="7B2D8E"/>
          <w:sz w:val="22"/>
        </w:rPr>
        <w:t xml:space="preserve">FNON Strategy: </w:t>
      </w:r>
      <w:r>
        <w:rPr>
          <w:rFonts w:ascii="Calibri" w:hAnsi="Calibri"/>
          <w:b w:val="0"/>
          <w:i w:val="0"/>
          <w:sz w:val="22"/>
        </w:rPr>
        <w:t>Primary: Facilitate DMN/hippocampal memory networks via temporal-parietal anodal stimulation. Facilitate CEN (left DLPFC) for executive function. tDCS + cognitive training. Consider high-frequency rTMS over left DLPFC for MCI stage.</w:t>
      </w:r>
    </w:p>
    <w:p/>
    <w:p>
      <w:pPr>
        <w:spacing w:before="200" w:after="80"/>
      </w:pPr>
      <w:r>
        <w:rPr>
          <w:rFonts w:ascii="Calibri" w:hAnsi="Calibri"/>
          <w:b/>
          <w:i w:val="0"/>
          <w:color w:val="1B3A5C"/>
          <w:sz w:val="28"/>
        </w:rPr>
        <w:t>Medication &amp; Clinical Notes</w:t>
      </w:r>
    </w:p>
    <w:p>
      <w:pPr>
        <w:shd w:val="clear" w:color="auto" w:fill="CC0000"/>
        <w:spacing w:before="80" w:after="120"/>
      </w:pPr>
      <w:r>
        <w:rPr>
          <w:rFonts w:ascii="Calibri" w:hAnsi="Calibri"/>
          <w:b/>
          <w:i w:val="0"/>
          <w:color w:val="FFFFFF"/>
          <w:sz w:val="20"/>
        </w:rPr>
        <w:t xml:space="preserve">⚠ CRITICAL: </w:t>
      </w:r>
      <w:r>
        <w:rPr>
          <w:rFonts w:ascii="Calibri" w:hAnsi="Calibri"/>
          <w:b w:val="0"/>
          <w:i w:val="0"/>
          <w:color w:val="FFFFFF"/>
          <w:sz w:val="20"/>
        </w:rPr>
        <w:t>CRITICAL: Record medication state at each assessment. Results may differ significantly ON vs OFF medication.</w:t>
      </w:r>
    </w:p>
    <w:p>
      <w:r>
        <w:rPr>
          <w:rFonts w:ascii="Calibri" w:hAnsi="Calibri"/>
          <w:b/>
          <w:i w:val="0"/>
          <w:color w:val="1B3A5C"/>
          <w:sz w:val="22"/>
        </w:rPr>
        <w:t xml:space="preserve">Medication State at Assessment: </w:t>
      </w:r>
      <w:r>
        <w:rPr>
          <w:rFonts w:ascii="Calibri" w:hAnsi="Calibri"/>
          <w:b w:val="0"/>
          <w:i w:val="0"/>
          <w:sz w:val="22"/>
        </w:rPr>
        <w:t>□ ON Medication    □ OFF Medication    □ Medication Wash-out    □ Unmedicated</w:t>
      </w:r>
    </w:p>
    <w:p/>
    <w:p>
      <w:r>
        <w:rPr>
          <w:rFonts w:ascii="Calibri" w:hAnsi="Calibri"/>
          <w:b/>
          <w:i w:val="0"/>
          <w:color w:val="1B3A5C"/>
          <w:sz w:val="20"/>
        </w:rPr>
        <w:t xml:space="preserve">Medication Name/Dose/Timing: </w:t>
      </w:r>
      <w:r>
        <w:rPr>
          <w:rFonts w:ascii="Calibri" w:hAnsi="Calibri"/>
          <w:b w:val="0"/>
          <w:i w:val="0"/>
          <w:sz w:val="20"/>
        </w:rPr>
        <w:t>__________________________________________________</w:t>
      </w:r>
    </w:p>
    <w:p>
      <w:r>
        <w:rPr>
          <w:rFonts w:ascii="Calibri" w:hAnsi="Calibri"/>
          <w:b/>
          <w:i w:val="0"/>
          <w:color w:val="1B3A5C"/>
          <w:sz w:val="20"/>
        </w:rPr>
        <w:t xml:space="preserve">Time Since Last Dose: </w:t>
      </w:r>
      <w:r>
        <w:rPr>
          <w:rFonts w:ascii="Calibri" w:hAnsi="Calibri"/>
          <w:b w:val="0"/>
          <w:i w:val="0"/>
          <w:sz w:val="20"/>
        </w:rPr>
        <w:t>__________________________________________________</w:t>
      </w:r>
    </w:p>
    <w:p>
      <w:r>
        <w:rPr>
          <w:rFonts w:ascii="Calibri" w:hAnsi="Calibri"/>
          <w:b/>
          <w:i w:val="0"/>
          <w:color w:val="1B3A5C"/>
          <w:sz w:val="20"/>
        </w:rPr>
        <w:t xml:space="preserve">Clinical Observations: </w:t>
      </w:r>
      <w:r>
        <w:rPr>
          <w:rFonts w:ascii="Calibri" w:hAnsi="Calibri"/>
          <w:b w:val="0"/>
          <w:i w:val="0"/>
          <w:sz w:val="20"/>
        </w:rPr>
        <w:t>__________________________________________________</w:t>
      </w:r>
    </w:p>
    <w:p>
      <w:r>
        <w:rPr>
          <w:rFonts w:ascii="Calibri" w:hAnsi="Calibri"/>
          <w:b/>
          <w:i w:val="0"/>
          <w:color w:val="1B3A5C"/>
          <w:sz w:val="20"/>
        </w:rPr>
        <w:t xml:space="preserve">Network Interpretation Notes: </w:t>
      </w:r>
      <w:r>
        <w:rPr>
          <w:rFonts w:ascii="Calibri" w:hAnsi="Calibri"/>
          <w:b w:val="0"/>
          <w:i w:val="0"/>
          <w:sz w:val="20"/>
        </w:rPr>
        <w:t>__________________________________________________</w:t>
      </w:r>
    </w:p>
    <w:p>
      <w:r>
        <w:rPr>
          <w:rFonts w:ascii="Calibri" w:hAnsi="Calibri"/>
          <w:b/>
          <w:i w:val="0"/>
          <w:color w:val="1B3A5C"/>
          <w:sz w:val="20"/>
        </w:rPr>
        <w:t xml:space="preserve">Next Assessment Date: </w:t>
      </w:r>
      <w:r>
        <w:rPr>
          <w:rFonts w:ascii="Calibri" w:hAnsi="Calibri"/>
          <w:b w:val="0"/>
          <w:i w:val="0"/>
          <w:sz w:val="20"/>
        </w:rPr>
        <w:t>__________________________________________________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