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ALZHEIMER'S DISEASE / MILD COGNITIVE IMPAIRMENT</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Alzheimer's Disease / MCI (AD/MCI).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Alzheimer's Disease / MCI (AD/MCI)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AD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AD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CE-MARKED for Alzheimer’s Disease</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Meta-analysis, Systematic Review</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Observational</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NOTE: TPS (NEUROLITH®) is CE-marked for Alzheimer's disease — this is an approved on-label indication at SOZO Brain Center. Standard informed consent for TPS is required. For MCI (pre-AD) use, TPS is investigational and the standard off-label disclosure applies.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AD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Alzheimer's Disease / MCI (AD/MCI).</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AD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Where the patient has reduced capacity, consent must be obtained from a legal guardian or authorised representative in accordance with applicable law. For MCI patients with preserved capacity, standard consent applies.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AD/MCI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Established NIBS; Level B evidence for memory and cognitive function in AD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for Alzheimer's disease (on-label); investigational for MCI</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for AD; off-label disclosure for MCI</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neuroinflammation reduction and memory consolidation pathway</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apathy, sleep, and anxiety comorbidity in AD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AD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 / caregiver-rated):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Short-term memory (recall of recent events and information)</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Long-term memory (access to established memories)</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Word-finding (naming objects, finding words mid-sentence)</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Orientation (time, place, and person)</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Decision-making (daily choices and planning)</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Problem-solving (managing novel challenges)</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Learning new information</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Recognition (faces, familiar places, objects)</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Apathy / motivation</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Agitation / restlessness</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Wandering / disorientation</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Appetite and weight</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Independence in activities of daily living (ADL)</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Amnestic MCI, Multi-Domain MCI, Early-Onset AD, Late-Onset AD, Posterior Cortical Atrophy, Logopenic, Behavioural/Frontal, Mixed AD-Vascular, or Apathy-Dominant.</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Amnestic MCI</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Early DMN atrophy (hippocampal-PCC disconnection); episodic memory failure with preserved executive function</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Multi-Domain MCI</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DMN + CEN co-impairment; memory plus executive or language deficits; higher AD conversion risk</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Early-Onset AD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Prominent CEN fragmentation (executive) + DMN atrophy; younger presentation; rapid progression risk</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Late-Onset AD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Progressive DMN degeneration + widespread network disconnection; amyloid and tau co-pathology</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Posterior Cortical Atrophy</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Parieto-occipital network disruption; visuospatial impairment, dressing apraxia; SMN-ATTENTION involvement</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Logopenic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Left temporo-parietal language network atrophy; word-finding and repetition failure; phonological loop disruption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Behavioural / Frontal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CEN-LIMBIC dysregulation; disinhibition, apathy, and compulsive behaviours; frontal network predominance</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Apathy-Dominant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CEN-LIMBIC disconnection; profound motivation failure; reward circuit hypofunction; requires specific FNON targeting</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(AD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cholinesterase inhibitor / memantine (name, dose, timing of last dose, caregiver-confirmed adherence)</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(cholinesterase inhibitor / memantine adherence, timing of last dose, caregiver report of behaviour today)</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 working memory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Graded cognitive training (categorisation, n-back, word association); keep session short and structured</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P3/P4 (temporal-parietal)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Memory consolidation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Structured recall tasks, name-face association, semantic memory exercises; spaced repetition</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Pz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 DMN modulation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Attention-guided reality orientation therapy, present-moment grounding tasks</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Fp1/Fp2 / F3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Apathy / motivation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Pleasurable activity scheduling, social reminiscence therapy, caregiver-guided task engagement</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tDCS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Neuroplasticity / mood</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Music-based memory therapy, emotionally salient reminiscence, caregiver interaction tasks</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Memory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or stabilisation in MoCA memory items + PRS memory domain; caregiver global impression</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 Cognition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Maintained or improved executive and orientation scores (MoCA total, PRS items); ADL stability</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Behaviour / Apathy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apathy, agitation, or neuropsychiatric symptoms (PRS secondary + NPI-Q equivalent)</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Function / ADL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or maintained independence in activities of daily living (caregiver-reported); reduced caregiver burden</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Cognitive performance in AD/MCI fluctuates with fatigue, infection, dehydration, and medication state. Standardise assessment conditions between baseline and follow-up — same time of day, same caregiver present, same medication state. Acute illness episodes (UTI, respiratory infection) in the preceding 4 weeks must be documented before interpreting SOZO PRS or cognitive screen changes.</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diagnosis of Alzheimer's disease or MCI (NIA-AA criteria or equivalent; specialist-confirmed)</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MMSE ≥15 or MoCA ≥10 at baseline (sufficient for meaningful participation)</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50+ years (early-onset AD: 40+ with specialist confirmation)</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with caregiver support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(patient with capacity, or guardian/representative for reduced capacity)</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cognitive outcome measures (MoCA or MMSE)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 and no available legal representative</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 (higher prevalence in AD — requires neurology review)</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MMSE below 15 (reduced cooperation and informed consent capacity — guardian consent required)</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cardiovascular disease or recent cardiac event</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psychosis or severe agitation preventing safe device application</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behaviours requiring pharmacological sedation (stimulation not suitable until stabilised)</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AD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Amnestic MCI</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P3/P4 anode (temporal-parietal memory) + F3/F4 supportive + TPS cranial (hippocampal vicinity) + taVNS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Multi-Domain MCI</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P3/P4 + TPS cranial comprehensive + taVNS + CES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Early-Onset AD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P3/P4 anode + TPS cranial targeted + taVNS primary (neuroinflammation)</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Late-Onset AD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TPS cranial (CE-marked, on-label) primary + tDCS F3/F4 + P3/P4 + taVNS + CES (sleep/mood)</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Posterior Cortical Atrophy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P3/P4/O1/O2 anode (posterior) + TPS parieto-occipital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Logopenic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F3/T3 (L hemisphere language) anode + TPS left frontal + temporal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Behavioural / Frontal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TPS frontal + taVNS + CES (behavioural stabilisation)</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Apathy-Dominant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 anode / Fp2 cathode (reward circuit) + TPS frontal + taVNS + CES; pair with meaningful activity</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