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Anxiety-Specific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Anxiety-Adapted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worry severity markers, interoceptive hypervigilance tests, and Anxiety phenotype markers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Worry Frequency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often do worrying thoughts occur in a typical day?' Rate 0–10. Ask: 'Can you stop them when you want?'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Occasional controllable worry; 0–3/10; able to redirect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worry (HYPO: emotional blunting or dissociation pattern)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Worry rated ≥8/10; uncontrollable; occurs &gt;6 hours/day; GAD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Future Simulation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describe their life 1 year from now. Rate positive vs negative content and level of catastrophizing.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future projection; realistic optimism; some uncertainty tolerated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or absent future thinking; poor prospective simulation; depressive overlap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Exclusively catastrophic futures; 'what if' elaboration; multiple disaster scenarios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10 adjectives with 'Does this describe you?' frame. Recall after 2-min distractor. Note anxious vs calm descriptors recalled.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≥6/10 recalled; balanced positive-negative self-descriptors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 recalled; poor self-schema engagement; emotional avoidance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Negative/threat self-descriptors preferentially recalled; positive self-views suppressed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Probe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passage with 4 random probes. Note task-unrelated thought content — specifically worry themes.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off-task; neutral or task-relevant mind-wandering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 off-task — suppression or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3–4/4 off-task; worry content; future-oriented catastrophic themes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Tell patient to remind you of a specific word in 5 min. Note: does patient check the time repeatedly? Rate anxiety about forgetting.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Recalls within 5±1 min; no time-checking anxiety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Forgets entirely; poor future self-monitoring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Repeatedly checks time or asks if it's been 5 min yet; hypervigilant to future task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Narrative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'Tell me something about your plans for next week.' Rate coherence and anxiety content.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description; some flexibility; manageable uncertainty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response; poor planning; disinterested in future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catastrophic scenarios; unable to describe neutral plans; catastrophizing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Semantic Fluency — Future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things that could go wrong vs go right in a hypothetical trip. Count positive vs negative items generated.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generation; ≥4 positive and ≥4 negative items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generation; unable to generate either valence; emotional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negative items; ≤2 positive; strong threat generation bias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GAD is characterized by DMN HYPERACTIVITY with pathological worry — future-oriented negative self-referential processing. Unlike Depression's past-focus, Anxiety drives prospective DMN over-engagement: repetitive 'what if' scenarios and catastrophic future simulations.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digit sequences; ask reverse recall. Start at 2 digits and increase. Score maximum span achieved.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span ≥5 digits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working memory overwhelmed by anxiety; cognitive interference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intact but performance fluctuates; anxiety disrupts under time pressure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number-letter connections on paper. Record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Extremely slow; gives up; decision anxiety paralysis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with multiple errors; impulsive choices; anxiety-driven rushing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words beginning with F in 60 sec. Note if patient generates anxiety/threat-related words preferentially.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words; &lt;3 repetitions; mixed content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&lt;7 words; poor retrieval; cognitive interference from worry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words but many are threat/worry-related (fears, failures, fight...)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Interference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Stroop variant: include anxiety-related words (danger, threat). Compare interference on neutral vs anxiety words.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Uniform response time across word types;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Stroop effect; flat processing;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Selectively slowed on anxiety-related words; emotional Stroop effect prominent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subtraction for 5 steps. Note accuracy and whether errors trigger distress or self-criticism.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correct; calm error acceptance if any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poor concentration; cognitive load from worry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4–5/5 correct but extreme distress on any error; perfectionism; self-criticism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20 letters at 1/sec; tap for all except X. Count commission and omission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 errors; poor sustained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commission errors; impulsive responding; over-vigilant false alarms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fruits and vegetables for 60 sec. Note switching speed and intrusion errors.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correct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alternations; rigid category maintenance; inflexibility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 but rushed, anxious pacing; perseverative corrections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CEN HYPOACTIVITY in GAD reflects executive resources hijacked by worry processes. DLPFC fails to adequately suppress amygdala-driven threat appraisals. Working memory is congested with anxious content, reducing cognitive flexibility and problem-solving capacity.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Heartbeat Counting — Interoception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own heartbeats for 25 sec without touching body. Compare to measured pulse.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&gt;0.75; appropriate body 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&lt;0.50; poor interoception; body disconnection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&gt;0.90 with extreme focus; hyperawareness; health anxiety; palpitation focus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Appraisal — GAD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5 ambiguous scenarios (e.g., boss calls you in, friend doesn't reply). Rate threat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Ambiguous scenarios rated 2–4; tolerates uncertainty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scenarios rated ≤2; denial or minimization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scenarios rated ≥8; catastrophic interpretations; intolerance of uncertainty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passage with 2 embedded errors. Note spontaneous error detection and emotional response to errors found.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 error calmly; mild satisfaction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 errors; poor ACC self-monitoring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 but excessive distress; replays passage to find more; perfectionism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tracking (pen) and auditory counting (tones) tasks. Measure switching cost.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 delay &lt;2 sec; smooth transitions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switching &gt;5 sec; poor disengagement; inertia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switching but with anticipatory anxiety about next task; hypervigilant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Pain/Somatic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Apply light pressure to fingernail bed for 3 sec. Rate intensity 0–10. Ask about somatic tension (head, shoulders, stomach).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rating 3–6; minimal somatic complaints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rating ≤2; poor somatic awareness; body disconnection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rating ≥8; somatic amplification; reports tension in ≥3 body areas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Surprise/Orienting Response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Deliver unexpected auditory tone mid-task. Observe startle magnitude, reorientation time, and physiological signs.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within 3 sec; calm recovery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 startle; poor orienting; disengaged vigilance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prolonged recovery &gt;10 sec; autonomic activation signs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Salience Rating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Show 6 emotional (3 threat-related, 3 positive) and 6 neutral images. Rate salience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ratings; threat ≤6, positive ≥4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ratings; emotional blunting across all image types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images rated ≥9; positive/neutral rated ≤3; strong threat salience bias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SN is the core dysfunction in GAD — HYPERACTIVITY of the salience detection system misidentifies neutral stimuli as threatening. ACC and anterior insula HYPER-engagement creates persistent false alarm signaling, interoceptive hypersensitivity, and autonomic arousal.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finger tapping for 10 sec each hand. Count taps. Note tremor, restlessness, or irregular rhythm.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 taps/10 sec; regular rhythm; no tremor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taps; slow; reduced motor drive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 but with visible tremor; restless hand movements; motor tension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squeeze of examiner's fingers bilaterally. Note strength and whether patient can release smoothly.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 grip; smooth release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 bilateral grip; disengaged muscle tone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Intense grip; difficulty releasing; white-knuckle tension; gripping response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Muscle Tension Survey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Palpate/observe tension in trapezius, jaw (TMJ), and forearms. Rate visible tension 0–10 per region.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tension ≤3 in all regions; relaxed posture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tension; hypotonic; dissociated body 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Tension ≥7 in ≥2 regions; teeth clenching; rigid posture; somatic hyperactivation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walk for 10 steps on a line. Count steps off line and observe postural tension.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 line; relaxed gait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step failures; poor proprioceptive engagement; slow pace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Steps performed rigidly; tense upright posture; hypervigilant gait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together, eyes closed for 30 sec. Observe sway and note visible tension/fidgeting.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sway; stable 30 sec; relaxed posture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poor proprioception; motor disengagement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but with visible tension; fidgeting; unable to relax into stance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forearm for 10 sec. Observe rhythm, speed, and tremor.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 rhythm; ≥14 cycles; no tremor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reduced amplitude; poor motor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speed but tremulous; irregular rhythm; tension-induced dysrhythmia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 and address; draw 10 circles. Assess pressure, size, and tremor.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consistent; moderate pressure; smooth circles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Reduced pressure; micrographia; flat motor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Heavy pressure; irregular size; visible tremor; rushed scrawl from anxiety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from table when pen drops. 3 trials averaged.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&lt;250 ms; consistent across trials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&gt;400 ms; slow motor initiation; poor readiness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&lt;150 ms average; anticipatory lifts; motor hypervigilance; false starts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SMN shows HYPER-arousal in GAD — muscle tension, physiological hyperactivation, tremor, and restlessness reflect elevated sympathetic tone. Somatic symptoms (tension headache, GI symptoms) arise from chronic SMN/autonomic HYPER-engagement.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Identify 6 emotions (joy, sadness, fear, anger, disgust, surprise) from facial photos. Score /6.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poor emotional recognition; blunted affect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Misidentifies neutral as fearful/angry; hypersensitivity to threatening expressions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Generalization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3 mildly threatening scenarios then 3 neutral scenarios. Rate anxiety 0–10 for each.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5–7 for threatening, ≤3 for neutral; appropriate differentiation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anxiety across all scenarios; blunted fear response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anxiety (≥7) for neutral scenarios; fear generalization; threat overgeneralization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 — Threat Bias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10 words (5 threat-related: danger, attack; 5 positive/neutral). Free recall after 5-min distractor.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recall or slight positive advantage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poor emotional memory enhancement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words preferentially recalled; positive words suppressed; anxiety memory bias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Describe 3 emotional scenarios. Ask: 'What emotion would you feel?' Note: does patient label anxiety in non-threatening scenarios?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Accurate, differentiated emotional labels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'Nothing' or unable to identify emotions; alexithymia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Labels anxiety/fear even in positive scenarios; over-activation of fear response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pleasant activities 0–10. Note whether anxiety about activities (not anhedonia) drives avoidance.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interest ≥6/10; approach motivation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≤3; anhedonia (screen for Depression overlap)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≥7 but with anxious over-planning; avoidance of spontaneous pleasure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Social Comfort Rating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comfort in 5 social scenarios. Note whether anxiety (vs depression) is the reported barrier to social engagement.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Comfort ≥5/10 for ≥4 scenarios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Comfort ≤3 due to depression/withdrawal (not anxiety)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Comfort ≤3 for ≥4 scenarios; social anxiety; fear of negative evaluation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 recall. Rate mood before/after. Note: does anxious anticipation interfere with emotional switching?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Mood shift ≥3 points; returns to baseline within 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mood; no emotional responsivity; anhedonic rigidity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Unable to access positive memory; anxiety about 'letting guard down'; hypervigilant affect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Amygdala HYPERACTIVITY drives the fear-based core of GAD. Hyperactive threat detection with impaired prefrontal fear regulation results in chronically elevated emotional reactivity, fear generalization, and avoidance behavior.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aloud for 60 sec. Note consistency and whether anxiety disrupts sustained performance.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consistent pace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Frequent pauses; poor sustained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Anxious rushing; accelerating pace; anxious self-monitoring of performance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Bias — Threat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 a 20-item letter list, circle all A's. Include 5 threat-related words in context. Note if threat words cause attentional capture.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Uniform attention; ≤2 errors; no content-specific slowing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overall completion; poor attentional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slowing near threat words; attentional capture; anxiety-driven distractibility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by 2s while naming pointed objects. Dual-task performance assessment.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Maintains both tasks; ≤2 errors each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 task; poor resource sharing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Anxious performance; monitors own performance; self-interrupts to check accuracy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target among 20 distractors. Time and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&lt;15 sec; systematic search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&gt;45 sec; unsystematic; gives up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hypervigilant; finds target quickly but continues checking for more threats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Examiner says 'ready' before stimulus. Assess preparatory state and arousal level.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focused; controlled readiness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 alerting; disengaged; poor preparatory arousal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Hyper-alerting; over-aroused; exaggerated anticipatory response; vigilant scanning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Orienting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Arrow cue (valid/invalid) before peripheral target. Measure orienting benefit and disengagement speed.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benefit ≥100 ms; smooth disengagement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 benefit; poor spatial attention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lock; difficulty disengaging from cued location; hypervigilant orienting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all circles on mixed-shape sheet. Speed and accuracy.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&gt;120 sec; omissions; poor inhibitory drive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with false alarms; impulsive cancelling; attentional hyperactivation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first vs last 2.5 min hit rate.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Performance drop &lt;10%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&gt;30% decline; rapid fatigue; poor sustained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decline but accelerating errors; hypervigilant pace maintained at cost of accuracy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Anxiety Relevance: Attention Networks show HYPER-vigilance (DAN/VAN HYPER) toward threat-related stimuli alongside reduced top-down attentional control. Patients cannot disengage from threat cues (attentional lock), while divided and sustained attention are impaired by worry.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Anxiety phenotypes: (1) WORRY-DOMINANT — DMN HYPER + CEN HYPO; (2) SOMATIC — SN+SMN HYPER dominant; (3) FEAR-AVOIDANCE — Limbic HYPER + attention bias; (4) HYPERVIGILANCE — Attention HYPER + SN HYPER. Map highest-scoring network to primary protocol target.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Inhibit SN hyperactivity (cathodal/low-frequency over ACC/insula, or right DLPFC). Facilitate CEN (anodal left DLPFC) to enhance prefrontal regulation of amygdala. Secondary: Normalize Limbic reactivity via DLPFC upregulation.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