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GENERALIZED ANXIETY DISORDER (GAD)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Anxiety Relevance: </w:t>
      </w:r>
      <w:r>
        <w:rPr>
          <w:sz w:val="20"/>
        </w:rPr>
        <w:t>HYPER. Chronic worry drives persistent future-oriented catastrophic simulation via mPFC. Excessive self-referential threat processing locks DMN in anticipatory anxiety mode, preventing task engagement.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Spontaneous worry/threat content in speech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2=Excessive catastrophising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Autobiographical memory threat bias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0=Balanced, 1=Normal, 2=Strongly threat-focused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to worry topics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2=Uncontrollable worry loops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thinking catastrophic simulation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1=Slightly negative, 2=Catastrophic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anxiety irrationality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 insight, 1=Reduced, 2=None/fixed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Cognitive fluctuations with anxiety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0=Consistent, 1=Slowed, 2=Fluctuates with panic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Repetitive thought content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1=Occasional, 2=Constant loops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Anxiety Relevance: </w:t>
      </w:r>
      <w:r>
        <w:rPr>
          <w:sz w:val="20"/>
        </w:rPr>
        <w:t>Compromised. CEN is engaged in worry maintenance rather than effective problem-solving. DLPFC fails to down-regulate amygdala activation, impairing top-down anxiolytic control over threat appraisal.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 / mental calculation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 due to anxiety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 (forward &amp; backward)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 (animals/letters)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Planning (clock drawing)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 / cognitive flexibility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1=Worry-locked,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2=Freezes under load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Anxiety Relevance: </w:t>
      </w:r>
      <w:r>
        <w:rPr>
          <w:sz w:val="20"/>
        </w:rPr>
        <w:t>HYPER. PRIMARY NETWORK IN GAD. Anterior insula and dACC hyperactivation amplify interoceptive threat signals. Autonomic overdrive (palpitations, sweating, dyspnoea) reflects sustained SN hyperactivation.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2=Exaggerated/prolonged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Pain/discomfort sensitivity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1=Hypo, 2=Hyper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 (heartbeat awareness)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2=Excessive/distressing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Emotional reactivity to stressor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1=Flat, 2=Panic-level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 ability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2=Stuck on threat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 (go/no-go)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1=Misses, 2=Over-corrects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 (HR, sweating, BP)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2=Hyper/tachycardia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Anxiety Relevance: </w:t>
      </w:r>
      <w:r>
        <w:rPr>
          <w:sz w:val="20"/>
        </w:rPr>
        <w:t>HYPER-tension. Chronic muscle tension, tremulousness, motor restlessness, and fidgeting reflect sustained SMA/M1 activation driven by continuous autonomic and limbic overflow into somatic pathways.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Muscle tension neck/shoulder palpation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2=Severe/rigid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Fine tremor (hands outstretched)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0=Absent, 1=Mild, 2=Moderate action tremor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Motor restlessness / fidgeting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1=Occasional, 2=Constant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Breathing pattern (rate/depth)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1=Shallow/fast, 2=Hyperventilation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Posture (tension/guarding)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1=Tense, 2=Rigid/braced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Gait (tension/stiffness)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1=Stiff, 2=Restricted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Coordination under task stress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1=Mildly impaired, 2=Disorganised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Jaw clenching / bruxism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0=Absent, 1=Mild, 2=Severe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Anxiety Relevance: </w:t>
      </w:r>
      <w:r>
        <w:rPr>
          <w:sz w:val="20"/>
        </w:rPr>
        <w:t>HYPER. Amygdala hyperactivation drives sustained fear-state without discrete threat. HPA axis overdrive, reduced hippocampal GABAergic inhibition, and OFC worry-loop maintenance perpetuate the disorder.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facial anxiety expression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1=Tense/worried, 2=Panicked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 anxiety (GAD-2)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Depression co-screen (PHQ-2)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1=Low,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/ avoidance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1=Avoidance, 2=Housebound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sensitivity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2=Anhedonia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2=Hyperactive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2=Dysregulated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Anxiety Relevance: </w:t>
      </w:r>
      <w:r>
        <w:rPr>
          <w:sz w:val="20"/>
        </w:rPr>
        <w:t>Threat-biased. DAN shows attentional capture by threat-relevant stimuli. VAN hyperresponsivity drives hyperorienting to potential threats. Disengagement from non-threatening stimuli is critically impaired.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(Stroop-type)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Visual search / threat scanning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2=Hypervigilant scan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2=Hypervigilant to sounds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to threat cues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1=Delayed, 2=Locked-on/cannot disengage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Disengagement from threat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disengage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/ vigilance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1=Normal, 2=Hypervigilant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Anxiety-Specific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mPFC tDCS to reduce worry-loop DMN hyperactivity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for top-down anxiolytic control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CES for anterior insula/dACC downregulation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SMA tDCS to reduce somatic tension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for amygdala regulation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rTPJ tDCS to reduce threat attentional bias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Cognitive-worry  ☐ Somatic-tension  ☐ Mixed  ☐ Panic-prone  ☐ Social overlap  ☐ Insomnia-linked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