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GENERALIZED ANXIETY DISORDER</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Generalized Anxiety Disorder (GAD).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Generalized Anxiety Disorder (GAD)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GAD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GAD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Evidence Level</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 — INVESTIGATIONAL OFF-LABEL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(epilepsy/depression)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 (anxiety/insomnia/depression)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Meta-analysis</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Generalized Anxiety Disorder is INVESTIGATIONAL at SOZO Brain Center. It is not CE-marked or FDA-approved for GAD.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GAD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Generalized Anxiety Disorder (GAD).</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GAD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GAD treatment.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GAD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prefrontal regulation of anxiety and worry circuits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Primary adjunctive — parasympathetic vagal regulation for anxiety reduction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 510k cleared for anxiety — first-line SOZO modality for GAD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GAD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Worry frequency (how often uncontrollable worry occurs)</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Worry controllability (ability to stop or redirect worry)</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Restlessness / feeling on edge</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Muscle tension (physical tension or somatic tension)</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Irritability</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Concentration difficulty</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Fatigue (anxiety-driven exhaustion)</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Panic / acute anxiety episodes</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onset / maintenance problems</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Depression / low mood</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Avoidance behaviours</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Social anxiety</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GI or cardiac somatic symptoms</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Catastrophising / worst-case thinking</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Decision-making impairment</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Hypervigilance / scanning for threats</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Cognitive-Worry, Somatic-Tension, Mixed, Panic-Prone, Social, Insomnia-Linked, Health Anxiety, Phobic, or Autonomic.</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GAD: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Cognitive-Worry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DMN hyperactivation (rumination loop) + CEN hypofunction (poor worry termination), anterior cingulate dysregulation</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Somatic-Tension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hyperactivation (interoceptive amplification) + SMN tension coupling; prominent body-focused anxiety</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Mixed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DMN + SN co-hyperactivation; combined cognitive worry and somatic tension profile</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Panic-Prone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hyperactivation (acute threat amplification) + LIMBIC fear circuit hypersensitivity; episodic surge pattern</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Social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social threat detection over-sensitivity + LIMBIC shame/fear coupling; avoidance network activation</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Insomnia-Linked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nocturnal hyperarousal + LIMBIC night-time amplification; anxiety driving sleep disruption cycle</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Health Anxiety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interoceptive hyperactivation + DMN catastrophising + CEN poor threat appraisal regulation</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Autonomic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SN-autonomic network dysregulation; prominent cardiovascular/GI symptoms; vagal tone reduction</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(GAD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anxiolytic / SSRI medication (name, dose, timing of last dose, adherence, current anxiety baseline rating)</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(anxiolytic or SSRI adherence, timing of last dose, current session anxiety rating)</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F4 cathode (L-DLPFC 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Worry / cognitive control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defusion exercises, worry postponement protocol, structured problem-solving</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Right DLPFC inhibition (F4 cathode / F3 anode)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Threat bias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Attention bias modification (ABM) training, threat reappraisal exercises</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Fpz cathode / Fz (frontal inhibition)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 reduction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4-7-8 breathing, diaphragmatic breathing training, heart rate variability biofeedback</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primary (cymba conchae)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Vagal activation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Slow breathing protocol (5 breaths/min), progressive muscle relaxation, guided body scan</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 + taVNS combined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Arousal and somatic tension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Body scan, somatic relaxation tasks, anxiety psychoeducation review</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Worry / Cognitive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reduction in GAD-7 or equivalent (≥50%) + PRS worry items improvement</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Somatic / Autonomic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somatic anxiety symptoms (PRS) and improved heart rate variability or relaxation capacity</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sleep onset latency and quality (PRS secondary items + sleep diary)</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Function / Avoidance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social and occupational participation, reduced avoidance behaviours (PRS + patient report)</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Anxiety symptoms fluctuate significantly with acute stressors. Standardise assessment conditions between baseline and follow-up — avoid assessment immediately following identified stressor events. Document concurrent psychotherapy, lifestyle changes, and significant life events when interpreting SOZO PRS changes.</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diagnosis of Generalized Anxiety Disorder (ICD-10 F41.1 or DSM-5 criteria)</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Moderate to severe anxiety (GAD-7 ≥10 or equivalent; functionally impairing)</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18+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anxiety outcome measures (GAD-7 or equivalent)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panic disorder with agoraphobia limiting clinic attendance</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psychosis</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Bipolar disorder (requires mood stabiliser optimisation first)</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medical comorbidity driving anxiety (requires primary medical management first)</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GAD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Cognitive-Worry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(L-DLPFC up) + TPS frontal + taVNS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Somatic-Tension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 taVNS primary + tDCS Fpz/F3 cathode (frontal inhibition) + TPS frontal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Mixed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TPS frontal + taVNS primary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Panic-Prone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 taVNS primary (high priority) + tDCS F3 anode / F4 cathode + TPS frontal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Social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right TP cathode + TPS frontal + taVNS + CES; pair with social exposure tasks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Insomnia-Linked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(pre-sleep primary) + taVNS (evening) + tDCS Fpz cathode + TPS frontal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Health Anxiety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TPS frontal + taVNS primary + CES; pair with interoceptive exposure exercises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Autonomic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primary (daily, high dose) + CES primary + tDCS Fpz/F3 cathode + TPS frontal supportive</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