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AUTISM SPECTRUM DISORDER (ASD)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Atypical social mentalizing. Theory of mind, mentalizing, and social cognition — core DMN functions — are fundamentally different in ASD. mPFC-PCC connectivity is atypical, impairing self-other distinction and social prediction.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1=Absent/monotone, 2=Excessive/scripted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Theory of mind (false belief estimate)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(restricted interests)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2=Fixed on restricted interest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Self-other distinction in conversation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 to perspective-take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ASD traits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0=Good insight, 1=Limited,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/ planning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1=Rigid/routine-bound, 2=Cannot plan flexibly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Social narrative coherence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1=Tangential, 2=Incoherent/monologue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Variable. Executive dysfunction is present in many individuals with ASD. Cognitive rigidity (insistence on sameness) reflects CEN inflexibility. Working memory may be preserved for rote material but impaired for social/contextual content.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calculation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/ cognitive 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1=Perseverative/rigid,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Atypical social salience. Social stimuli are not automatically detected as salient. Anterior insula differences produce atypical interoceptive processing. Sensory filtering differences reflect altered SN gating of sensory input.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1=Blunted, 2=Exaggerated/prolonged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Sensory sensitivity (pain/touch)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2=Hyper/allodynia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(bodily awareness)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1=Absent/alexithymia, 2=Distorted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Social emotional reactivity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1=Flat/alexithymic, 2=Overwhelmed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(restricted interests)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switch off interest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response to social stimuli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2=Hyper/shutdown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Atypical motor. Motor stereotypies, coordination difficulties, motor planning difficulties (developmental coordination disorder overlap), and unusual gait patterns reflect atypical SMN organisation and cortico-cerebellar connectivity.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Motor stereotypies (stimming)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0=Absent, 1=Mild/infrequent, 2=Constant/disruptive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Coordination (finger-to-nose)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impairment, 2=Dyspraxia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Fine motor (tapping/writing)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Motor planning (novel sequences)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2=Severely impaired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Postural control / balance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1=Mildly impaired, 2=Significantly impaired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pattern observation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1=Unusual pattern, 2=Significantly atypical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Motor imitation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1=Delayed/impaired, 2=Cannot imitate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Body awareness (proprioception)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2=Seeking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Atypical emotional processing. Amygdala hyperreactivity to social stimuli may drive social anxiety. Interoceptive differences produce alexithymia. Sensory sensitivities reflect atypical limbic-sensory integration.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(flat vs overwhelmed)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1=Flat/alexithymic, 2=Overwhelmed/meltdown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for social interaction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2=Avoidant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 (interests vs social)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0=Balanced, 1=Restricted interest only, 2=Social completely 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 to routine change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1=Distress, 2=Meltdown/shutdown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2=Meltdown/shutdown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ASD Relevance: </w:t>
      </w:r>
      <w:r>
        <w:rPr>
          <w:sz w:val="20"/>
        </w:rPr>
        <w:t>Atypical profile. Hyper-focus on restricted interests contrasts with impaired shifting to other stimuli. Over-selective attention to detail (local processing bias) reflects atypical DAN/VAN organisation in ASD.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(preferred topic)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1=Normal, 2=Hyperfocused/cannot stop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(local vs global)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0=Balanced, 1=Local bias, 2=Cannot globalise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 (filtering noise)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2=Hypersensitive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social stimuli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restricted interest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variability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1=Variable, 2=Extreme over/under-arousal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ASD-Specific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Anodal mPFC/temporal tDCS for social mentalizing support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cognitive flexibility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sensory sensitivity normalisation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SMA tDCS for stereotypy reduction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anxiety/regulation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for attention flexibility / TPS FT5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Social communication dominant  ☐ Restricted/repetitive dominant  ☐ Language delay  ☐ Sensory processing  ☐ Executive dysfunction  ☐ ADHD comorbidity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