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CHRONIC PAIN / FIBROMYALGIA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Chronic Pain Relevance: </w:t>
      </w:r>
      <w:r>
        <w:rPr>
          <w:sz w:val="20"/>
        </w:rPr>
        <w:t>HYPER. Pain catastrophising and rumination about pain drive mPFC hyperactivation. Distorted body schema and excessive self-referential processing of pain sensations reflect DMN hyperactivity amplifying the pain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Spontaneous pain-focused self-referential speech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2=Constant pain rumination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Pain catastrophising (verbal probe)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2=Severe catastrophising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Body schema distortion (body map)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1=Slightly distorted, 2=Severely distorted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Mind-wandering to pain topics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1=Absent, 2=Constant pain focus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catastrophising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0=Good insight, 1=Limited, 2=None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thinking (pain-related hopelessness)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 pessimism, 2=Hopeless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Narrative coherence (pain history)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0=Coherent, 1=Fragmented, 2=Catastrophic narrative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Chronic Pain Relevance: </w:t>
      </w:r>
      <w:r>
        <w:rPr>
          <w:sz w:val="20"/>
        </w:rPr>
        <w:t>Compromised. Impaired descending pain modulation from DLPFC reduces conditioned pain modulation (CPM) efficacy. Cognitive interference from pain reduces available CEN resources for working memory and planning.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 / mental calculation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 due to pain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 (forward &amp; backward)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Planning (clock drawing)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Chronic Pain Relevance: </w:t>
      </w:r>
      <w:r>
        <w:rPr>
          <w:sz w:val="20"/>
        </w:rPr>
        <w:t>HYPER. PRIMARY NETWORK IN CHRONIC PAIN. Central sensitisation reflects anterior insula and dACC hyperactivation that amplifies nociceptive salience. Interoceptive error signals perpetuate pain catastrophising.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Pain threshold (tender point pressure)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2=Hyper/allodynia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Allodynia to light touch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0=Absent, 1=Mild, 2=Severe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 (pain signal amplification)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2=Excessive/amplified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Emotional reactivity to pain discussion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1=Flat, 2=Distressed/labile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 when in pain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2=Cannot switch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 (sweating, HR)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Chronic Pain Relevance: </w:t>
      </w:r>
      <w:r>
        <w:rPr>
          <w:sz w:val="20"/>
        </w:rPr>
        <w:t>Reorganised. Pain-avoidance motor patterns, protective guarding, and altered proprioceptive processing reflect chronic SMN reorganisation. Reduced motor cortex excitability is observed in fibromyalgia.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Pain-guarding posture (observation)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 guarding, 2=Severe antalgic posture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Tender point examination (ACR sites)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1=4-10 tender, 2=11+ tender points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Range of motion (spine/limbs)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1=Mildly limited, 2=Severely limited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Grip strength (dynamometer)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2=Severely reduced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Gait compensation patterns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1=Antalgic gait, 2=Severely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Functional reach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Muscle tone (palpation)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1=Hypotonic, 2=Hypertonic/spasm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Sensory testing (allodynia map)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1=Regional, 2=Widespread allodynia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Chronic Pain Relevance: </w:t>
      </w:r>
      <w:r>
        <w:rPr>
          <w:sz w:val="20"/>
        </w:rPr>
        <w:t>Dysregulated. Emotional amplification of pain via amygdala-insula circuits drives the affective component of chronic pain. Comorbid depression and anxiety reflect limbic network involvement in pain perpetuation.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(pain-related distress)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1=Distressed, 2=Severely distressed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 depression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screening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to engage in activity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2=Avoidance/kinesiophobia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sensitivity / pleasure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1=Anhedonia, 2=Complete loss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 to pain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2=Catastrophic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2=Dysregulated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Chronic Pain Relevance: </w:t>
      </w:r>
      <w:r>
        <w:rPr>
          <w:sz w:val="20"/>
        </w:rPr>
        <w:t>Hypervigilant to pain. Attentional bias toward pain-related stimuli reflects DAN hyperresponsivity to nociceptive cues. VAN-driven orienting to any bodily sensation perpetuates pain hyperawareness.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 (during pain)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Attentional bias to pain/body cues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2=Cannot disengage from body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to pain stimuli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1=Delayed, 2=Hypervigilant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Disengagement from pain focus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disengage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(fatigue/insomnia)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1=Drowsy, 2=Severely fatigued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Chronic Pain-Specific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mPFC tDCS to reduce pain catastrophising / rumination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for descending pain modulation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CES for central sensitisation / insula downregulation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M1 tDCS / TPS FT1 for motor cortex pain modulation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for affective pain component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parietal tDCS for attentional bias reduction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Nociceptive  ☐ Neuropathic  ☐ Nociplastic/central sensitisation  ☐ Fibromyalgia  ☐ CRPS  ☐ Mixed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