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Calibri" w:hAnsi="Calibri"/>
          <w:b/>
          <w:i w:val="0"/>
          <w:color w:val="1B3A5C"/>
          <w:sz w:val="32"/>
        </w:rPr>
        <w:t>SOZO BRAIN CENTER — PARTNERS TIER</w:t>
      </w:r>
    </w:p>
    <w:p>
      <w:pPr>
        <w:jc w:val="center"/>
      </w:pPr>
      <w:r>
        <w:rPr>
          <w:rFonts w:ascii="Calibri" w:hAnsi="Calibri"/>
          <w:b/>
          <w:i w:val="0"/>
          <w:color w:val="2E75B6"/>
          <w:sz w:val="28"/>
        </w:rPr>
        <w:t>Long COVID-Specific 6-Network Bedside Assessment</w:t>
      </w:r>
    </w:p>
    <w:p>
      <w:pPr>
        <w:shd w:val="clear" w:color="auto" w:fill="7B2D8E"/>
        <w:jc w:val="center"/>
      </w:pPr>
      <w:r>
        <w:rPr>
          <w:rFonts w:ascii="Calibri" w:hAnsi="Calibri"/>
          <w:b/>
          <w:i w:val="0"/>
          <w:color w:val="FFFFFF"/>
          <w:sz w:val="22"/>
        </w:rPr>
        <w:t>🟣 FNON + Evidence-Based Assessment — Includes Brain Network Analysis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1B3A5C"/>
          <w:left w:val="single" w:sz="4" w:space="0" w:color="1B3A5C"/>
          <w:bottom w:val="single" w:sz="4" w:space="0" w:color="1B3A5C"/>
          <w:right w:val="single" w:sz="4" w:space="0" w:color="1B3A5C"/>
          <w:insideH w:val="single" w:sz="4" w:space="0" w:color="1B3A5C"/>
          <w:insideV w:val="single" w:sz="4" w:space="0" w:color="1B3A5C"/>
        </w:tblBorders>
      </w:tblPr>
      <w:tblGrid>
        <w:gridCol w:w="4680"/>
        <w:gridCol w:w="4680"/>
      </w:tblGrid>
      <w:tr>
        <w:tc>
          <w:tcPr>
            <w:tcW w:type="dxa" w:w="4680"/>
            <w:shd w:val="clear" w:color="auto" w:fill="F2F2F2"/>
          </w:tcPr>
          <w:p>
            <w:r>
              <w:rPr>
                <w:rFonts w:ascii="Calibri" w:hAnsi="Calibri"/>
                <w:b/>
                <w:i w:val="0"/>
                <w:color w:val="1B3A5C"/>
                <w:sz w:val="20"/>
              </w:rPr>
              <w:t>Patient Name:</w:t>
            </w:r>
          </w:p>
        </w:tc>
        <w:tc>
          <w:tcPr>
            <w:tcW w:type="dxa" w:w="4680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</w:r>
          </w:p>
        </w:tc>
      </w:tr>
      <w:tr>
        <w:tc>
          <w:tcPr>
            <w:tcW w:type="dxa" w:w="4680"/>
            <w:shd w:val="clear" w:color="auto" w:fill="F2F2F2"/>
          </w:tcPr>
          <w:p>
            <w:r>
              <w:rPr>
                <w:rFonts w:ascii="Calibri" w:hAnsi="Calibri"/>
                <w:b/>
                <w:i w:val="0"/>
                <w:color w:val="1B3A5C"/>
                <w:sz w:val="20"/>
              </w:rPr>
              <w:t>Date of Birth:</w:t>
            </w:r>
          </w:p>
        </w:tc>
        <w:tc>
          <w:tcPr>
            <w:tcW w:type="dxa" w:w="4680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</w:r>
          </w:p>
        </w:tc>
      </w:tr>
      <w:tr>
        <w:tc>
          <w:tcPr>
            <w:tcW w:type="dxa" w:w="4680"/>
            <w:shd w:val="clear" w:color="auto" w:fill="F2F2F2"/>
          </w:tcPr>
          <w:p>
            <w:r>
              <w:rPr>
                <w:rFonts w:ascii="Calibri" w:hAnsi="Calibri"/>
                <w:b/>
                <w:i w:val="0"/>
                <w:color w:val="1B3A5C"/>
                <w:sz w:val="20"/>
              </w:rPr>
              <w:t>Date of Assessment:</w:t>
            </w:r>
          </w:p>
        </w:tc>
        <w:tc>
          <w:tcPr>
            <w:tcW w:type="dxa" w:w="4680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</w:r>
          </w:p>
        </w:tc>
      </w:tr>
      <w:tr>
        <w:tc>
          <w:tcPr>
            <w:tcW w:type="dxa" w:w="4680"/>
            <w:shd w:val="clear" w:color="auto" w:fill="F2F2F2"/>
          </w:tcPr>
          <w:p>
            <w:r>
              <w:rPr>
                <w:rFonts w:ascii="Calibri" w:hAnsi="Calibri"/>
                <w:b/>
                <w:i w:val="0"/>
                <w:color w:val="1B3A5C"/>
                <w:sz w:val="20"/>
              </w:rPr>
              <w:t>Clinician:</w:t>
            </w:r>
          </w:p>
        </w:tc>
        <w:tc>
          <w:tcPr>
            <w:tcW w:type="dxa" w:w="4680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</w:r>
          </w:p>
        </w:tc>
      </w:tr>
      <w:tr>
        <w:tc>
          <w:tcPr>
            <w:tcW w:type="dxa" w:w="4680"/>
            <w:shd w:val="clear" w:color="auto" w:fill="F2F2F2"/>
          </w:tcPr>
          <w:p>
            <w:r>
              <w:rPr>
                <w:rFonts w:ascii="Calibri" w:hAnsi="Calibri"/>
                <w:b/>
                <w:i w:val="0"/>
                <w:color w:val="1B3A5C"/>
                <w:sz w:val="20"/>
              </w:rPr>
              <w:t>Session Number:</w:t>
            </w:r>
          </w:p>
        </w:tc>
        <w:tc>
          <w:tcPr>
            <w:tcW w:type="dxa" w:w="4680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</w:r>
          </w:p>
        </w:tc>
      </w:tr>
      <w:tr>
        <w:tc>
          <w:tcPr>
            <w:tcW w:type="dxa" w:w="4680"/>
            <w:shd w:val="clear" w:color="auto" w:fill="F2F2F2"/>
          </w:tcPr>
          <w:p>
            <w:r>
              <w:rPr>
                <w:rFonts w:ascii="Calibri" w:hAnsi="Calibri"/>
                <w:b/>
                <w:i w:val="0"/>
                <w:color w:val="1B3A5C"/>
                <w:sz w:val="20"/>
              </w:rPr>
              <w:t>Medication State:</w:t>
            </w:r>
          </w:p>
        </w:tc>
        <w:tc>
          <w:tcPr>
            <w:tcW w:type="dxa" w:w="4680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  <w:t>ON  /  OFF  /  Wash-out</w:t>
            </w:r>
          </w:p>
        </w:tc>
      </w:tr>
      <w:tr>
        <w:tc>
          <w:tcPr>
            <w:tcW w:type="dxa" w:w="4680"/>
            <w:shd w:val="clear" w:color="auto" w:fill="F2F2F2"/>
          </w:tcPr>
          <w:p>
            <w:r>
              <w:rPr>
                <w:rFonts w:ascii="Calibri" w:hAnsi="Calibri"/>
                <w:b/>
                <w:i w:val="0"/>
                <w:color w:val="1B3A5C"/>
                <w:sz w:val="20"/>
              </w:rPr>
              <w:t>Primary Diagnosis:</w:t>
            </w:r>
          </w:p>
        </w:tc>
        <w:tc>
          <w:tcPr>
            <w:tcW w:type="dxa" w:w="4680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</w:r>
          </w:p>
        </w:tc>
      </w:tr>
      <w:tr>
        <w:tc>
          <w:tcPr>
            <w:tcW w:type="dxa" w:w="4680"/>
            <w:shd w:val="clear" w:color="auto" w:fill="F2F2F2"/>
          </w:tcPr>
          <w:p>
            <w:r>
              <w:rPr>
                <w:rFonts w:ascii="Calibri" w:hAnsi="Calibri"/>
                <w:b/>
                <w:i w:val="0"/>
                <w:color w:val="1B3A5C"/>
                <w:sz w:val="20"/>
              </w:rPr>
              <w:t>Secondary Diagnosis:</w:t>
            </w:r>
          </w:p>
        </w:tc>
        <w:tc>
          <w:tcPr>
            <w:tcW w:type="dxa" w:w="4680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</w:r>
          </w:p>
        </w:tc>
      </w:tr>
      <w:tr>
        <w:tc>
          <w:tcPr>
            <w:tcW w:type="dxa" w:w="4680"/>
            <w:shd w:val="clear" w:color="auto" w:fill="F2F2F2"/>
          </w:tcPr>
          <w:p>
            <w:r>
              <w:rPr>
                <w:rFonts w:ascii="Calibri" w:hAnsi="Calibri"/>
                <w:b/>
                <w:i w:val="0"/>
                <w:color w:val="1B3A5C"/>
                <w:sz w:val="20"/>
              </w:rPr>
              <w:t>Current Medications:</w:t>
            </w:r>
          </w:p>
        </w:tc>
        <w:tc>
          <w:tcPr>
            <w:tcW w:type="dxa" w:w="4680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</w:r>
          </w:p>
        </w:tc>
      </w:tr>
      <w:tr>
        <w:tc>
          <w:tcPr>
            <w:tcW w:type="dxa" w:w="4680"/>
            <w:shd w:val="clear" w:color="auto" w:fill="F2F2F2"/>
          </w:tcPr>
          <w:p>
            <w:r>
              <w:rPr>
                <w:rFonts w:ascii="Calibri" w:hAnsi="Calibri"/>
                <w:b/>
                <w:i w:val="0"/>
                <w:color w:val="1B3A5C"/>
                <w:sz w:val="20"/>
              </w:rPr>
              <w:t>Referral Source:</w:t>
            </w:r>
          </w:p>
        </w:tc>
        <w:tc>
          <w:tcPr>
            <w:tcW w:type="dxa" w:w="4680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</w:r>
          </w:p>
        </w:tc>
      </w:tr>
      <w:tr>
        <w:tc>
          <w:tcPr>
            <w:tcW w:type="dxa" w:w="4680"/>
            <w:shd w:val="clear" w:color="auto" w:fill="F2F2F2"/>
          </w:tcPr>
          <w:p>
            <w:r>
              <w:rPr>
                <w:rFonts w:ascii="Calibri" w:hAnsi="Calibri"/>
                <w:b/>
                <w:i w:val="0"/>
                <w:color w:val="1B3A5C"/>
                <w:sz w:val="20"/>
              </w:rPr>
              <w:t>Notes:</w:t>
            </w:r>
          </w:p>
        </w:tc>
        <w:tc>
          <w:tcPr>
            <w:tcW w:type="dxa" w:w="4680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</w:r>
          </w:p>
        </w:tc>
      </w:tr>
    </w:tbl>
    <w:p/>
    <w:p>
      <w:r>
        <w:rPr>
          <w:rFonts w:ascii="Calibri" w:hAnsi="Calibri"/>
          <w:b/>
          <w:i w:val="0"/>
          <w:color w:val="1B3A5C"/>
          <w:sz w:val="22"/>
        </w:rPr>
        <w:t xml:space="preserve">Scoring Key: </w:t>
      </w:r>
      <w:r>
        <w:rPr>
          <w:rFonts w:ascii="Calibri" w:hAnsi="Calibri"/>
          <w:b w:val="0"/>
          <w:i w:val="0"/>
          <w:color w:val="2E75B6"/>
          <w:sz w:val="22"/>
        </w:rPr>
        <w:t xml:space="preserve">HYPO (1)  |  </w:t>
      </w:r>
      <w:r>
        <w:rPr>
          <w:rFonts w:ascii="Calibri" w:hAnsi="Calibri"/>
          <w:b w:val="0"/>
          <w:i w:val="0"/>
          <w:color w:val="1B3A5C"/>
          <w:sz w:val="22"/>
        </w:rPr>
        <w:t xml:space="preserve">NORMAL (0)  |  </w:t>
      </w:r>
      <w:r>
        <w:rPr>
          <w:rFonts w:ascii="Calibri" w:hAnsi="Calibri"/>
          <w:b w:val="0"/>
          <w:i w:val="0"/>
          <w:color w:val="CC0000"/>
          <w:sz w:val="22"/>
        </w:rPr>
        <w:t>HYPER (2)</w:t>
      </w:r>
      <w:r>
        <w:rPr>
          <w:rFonts w:ascii="Calibri" w:hAnsi="Calibri"/>
          <w:b/>
          <w:i w:val="0"/>
          <w:color w:val="1B3A5C"/>
          <w:sz w:val="22"/>
        </w:rPr>
        <w:t xml:space="preserve">          Total: 44 Tests (Max Score: 88)</w:t>
      </w:r>
    </w:p>
    <w:p>
      <w:pPr>
        <w:shd w:val="clear" w:color="auto" w:fill="7B2D8E"/>
      </w:pPr>
      <w:r>
        <w:rPr>
          <w:rFonts w:ascii="Calibri" w:hAnsi="Calibri"/>
          <w:b/>
          <w:i w:val="0"/>
          <w:color w:val="FFFFFF"/>
          <w:sz w:val="20"/>
        </w:rPr>
        <w:t xml:space="preserve">🟣 Long COVID-Adapted Version: </w:t>
      </w:r>
      <w:r>
        <w:rPr>
          <w:rFonts w:ascii="Calibri" w:hAnsi="Calibri"/>
          <w:b w:val="0"/>
          <w:i w:val="0"/>
          <w:color w:val="FFFFFF"/>
          <w:sz w:val="20"/>
        </w:rPr>
        <w:t>Includes brain fog markers, post-exertional malaise indicators, and Long COVID network profile phenotype markers</w:t>
      </w:r>
    </w:p>
    <w:p/>
    <w:p>
      <w:pPr>
        <w:spacing w:before="120" w:after="80"/>
      </w:pPr>
      <w:r>
        <w:rPr>
          <w:rFonts w:ascii="Calibri" w:hAnsi="Calibri"/>
          <w:b/>
          <w:i w:val="0"/>
          <w:color w:val="2E75B6"/>
          <w:sz w:val="24"/>
        </w:rPr>
        <w:t>Default Mode Network (DMN) — Max Score: 14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1B3A5C"/>
          <w:left w:val="single" w:sz="4" w:space="0" w:color="1B3A5C"/>
          <w:bottom w:val="single" w:sz="4" w:space="0" w:color="1B3A5C"/>
          <w:right w:val="single" w:sz="4" w:space="0" w:color="1B3A5C"/>
          <w:insideH w:val="single" w:sz="4" w:space="0" w:color="1B3A5C"/>
          <w:insideV w:val="single" w:sz="4" w:space="0" w:color="1B3A5C"/>
        </w:tblBorders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84"/>
            <w:shd w:val="clear" w:color="auto" w:fill="1B3A5C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Bedside Test</w:t>
            </w:r>
          </w:p>
        </w:tc>
        <w:tc>
          <w:tcPr>
            <w:tcW w:type="dxa" w:w="2736"/>
            <w:shd w:val="clear" w:color="auto" w:fill="1B3A5C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How to Perform</w:t>
            </w:r>
          </w:p>
        </w:tc>
        <w:tc>
          <w:tcPr>
            <w:tcW w:type="dxa" w:w="1584"/>
            <w:shd w:val="clear" w:color="auto" w:fill="1B3A5C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Normal</w:t>
            </w:r>
          </w:p>
        </w:tc>
        <w:tc>
          <w:tcPr>
            <w:tcW w:type="dxa" w:w="1872"/>
            <w:shd w:val="clear" w:color="auto" w:fill="1B3A5C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HYPO (1)</w:t>
            </w:r>
          </w:p>
        </w:tc>
        <w:tc>
          <w:tcPr>
            <w:tcW w:type="dxa" w:w="1872"/>
            <w:shd w:val="clear" w:color="auto" w:fill="1B3A5C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HYPER (2)</w:t>
            </w:r>
          </w:p>
        </w:tc>
        <w:tc>
          <w:tcPr>
            <w:tcW w:type="dxa" w:w="864"/>
            <w:shd w:val="clear" w:color="auto" w:fill="1B3A5C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Score</w:t>
            </w:r>
          </w:p>
        </w:tc>
      </w:tr>
      <w:tr>
        <w:tc>
          <w:tcPr>
            <w:tcW w:type="dxa" w:w="1584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Brain Fog — Default Mode Assessment</w:t>
            </w:r>
          </w:p>
        </w:tc>
        <w:tc>
          <w:tcPr>
            <w:tcW w:type="dxa" w:w="2736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Ask: 'Does your mind feel blank or empty when you're not doing anything?' Rate mental blankness 0-10.</w:t>
            </w:r>
          </w:p>
        </w:tc>
        <w:tc>
          <w:tcPr>
            <w:tcW w:type="dxa" w:w="1584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0-3; spontaneous thought present; mental activity maintained</w:t>
            </w:r>
          </w:p>
        </w:tc>
        <w:tc>
          <w:tcPr>
            <w:tcW w:type="dxa" w:w="1872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0; no brain fog; mild or recovered Long COVID</w:t>
            </w:r>
          </w:p>
        </w:tc>
        <w:tc>
          <w:tcPr>
            <w:tcW w:type="dxa" w:w="1872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≥7; pervasive mental blankness; spontaneous thought absent; Long COVID DMN HYPO hallmark</w:t>
            </w:r>
          </w:p>
        </w:tc>
        <w:tc>
          <w:tcPr>
            <w:tcW w:type="dxa" w:w="864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</w:r>
          </w:p>
        </w:tc>
      </w:tr>
      <w:tr>
        <w:tc>
          <w:tcPr>
            <w:tcW w:type="dxa" w:w="1584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Autobiographical Memory — Brain Fog</w:t>
            </w:r>
          </w:p>
        </w:tc>
        <w:tc>
          <w:tcPr>
            <w:tcW w:type="dxa" w:w="2736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Ask 3 personal memories. Note: are memories accessible or trapped 'behind fog'?</w:t>
            </w:r>
          </w:p>
        </w:tc>
        <w:tc>
          <w:tcPr>
            <w:tcW w:type="dxa" w:w="1584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Accessible memories; normal retrieval effort</w:t>
            </w:r>
          </w:p>
        </w:tc>
        <w:tc>
          <w:tcPr>
            <w:tcW w:type="dxa" w:w="1872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Sparse; very slow; 'can't find them'; brain fog memory retrieval failure</w:t>
            </w:r>
          </w:p>
        </w:tc>
        <w:tc>
          <w:tcPr>
            <w:tcW w:type="dxa" w:w="1872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Memories present but take extreme effort; 'fog between me and memories'; Long COVID pattern</w:t>
            </w:r>
          </w:p>
        </w:tc>
        <w:tc>
          <w:tcPr>
            <w:tcW w:type="dxa" w:w="864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</w:r>
          </w:p>
        </w:tc>
      </w:tr>
      <w:tr>
        <w:tc>
          <w:tcPr>
            <w:tcW w:type="dxa" w:w="1584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Self-Reference Memory</w:t>
            </w:r>
          </w:p>
        </w:tc>
        <w:tc>
          <w:tcPr>
            <w:tcW w:type="dxa" w:w="2736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10 adjectives with self-reference frame. Recall after 2-min distractor.</w:t>
            </w:r>
          </w:p>
        </w:tc>
        <w:tc>
          <w:tcPr>
            <w:tcW w:type="dxa" w:w="1584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≥6/10 recalled; self-reference enhances memory</w:t>
            </w:r>
          </w:p>
        </w:tc>
        <w:tc>
          <w:tcPr>
            <w:tcW w:type="dxa" w:w="1872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&lt;4/10; brain fog impairs self-schema encoding</w:t>
            </w:r>
          </w:p>
        </w:tc>
        <w:tc>
          <w:tcPr>
            <w:tcW w:type="dxa" w:w="1872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Normal recall on good day; fluctuates with symptom severity; Long COVID variability</w:t>
            </w:r>
          </w:p>
        </w:tc>
        <w:tc>
          <w:tcPr>
            <w:tcW w:type="dxa" w:w="864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</w:r>
          </w:p>
        </w:tc>
      </w:tr>
      <w:tr>
        <w:tc>
          <w:tcPr>
            <w:tcW w:type="dxa" w:w="1584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Mind Wandering Probe</w:t>
            </w:r>
          </w:p>
        </w:tc>
        <w:tc>
          <w:tcPr>
            <w:tcW w:type="dxa" w:w="2736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2-min reading with 4 probes. Note off-task content.</w:t>
            </w:r>
          </w:p>
        </w:tc>
        <w:tc>
          <w:tcPr>
            <w:tcW w:type="dxa" w:w="1584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≤1/4 off-task; varied mind-wandering</w:t>
            </w:r>
          </w:p>
        </w:tc>
        <w:tc>
          <w:tcPr>
            <w:tcW w:type="dxa" w:w="1872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0/4; mental blankness even off-task; no spontaneous cognition</w:t>
            </w:r>
          </w:p>
        </w:tc>
        <w:tc>
          <w:tcPr>
            <w:tcW w:type="dxa" w:w="1872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3-4/4 off-task; cannot maintain reading; brain fog attention failure</w:t>
            </w:r>
          </w:p>
        </w:tc>
        <w:tc>
          <w:tcPr>
            <w:tcW w:type="dxa" w:w="864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</w:r>
          </w:p>
        </w:tc>
      </w:tr>
      <w:tr>
        <w:tc>
          <w:tcPr>
            <w:tcW w:type="dxa" w:w="1584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Symptom Fluctuation History</w:t>
            </w:r>
          </w:p>
        </w:tc>
        <w:tc>
          <w:tcPr>
            <w:tcW w:type="dxa" w:w="2736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Ask: 'Do your cognitive symptoms vary day to day or within a day?'</w:t>
            </w:r>
          </w:p>
        </w:tc>
        <w:tc>
          <w:tcPr>
            <w:tcW w:type="dxa" w:w="1584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Stable baseline; consistent performance</w:t>
            </w:r>
          </w:p>
        </w:tc>
        <w:tc>
          <w:tcPr>
            <w:tcW w:type="dxa" w:w="1872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No fluctuation; possibly early/mild Long COVID</w:t>
            </w:r>
          </w:p>
        </w:tc>
        <w:tc>
          <w:tcPr>
            <w:tcW w:type="dxa" w:w="1872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Significant daily fluctuation; worse post-exertion (PEM); Long COVID DMN variability</w:t>
            </w:r>
          </w:p>
        </w:tc>
        <w:tc>
          <w:tcPr>
            <w:tcW w:type="dxa" w:w="864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</w:r>
          </w:p>
        </w:tc>
      </w:tr>
      <w:tr>
        <w:tc>
          <w:tcPr>
            <w:tcW w:type="dxa" w:w="1584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Prospective Memory</w:t>
            </w:r>
          </w:p>
        </w:tc>
        <w:tc>
          <w:tcPr>
            <w:tcW w:type="dxa" w:w="2736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5-min reminder task.</w:t>
            </w:r>
          </w:p>
        </w:tc>
        <w:tc>
          <w:tcPr>
            <w:tcW w:type="dxa" w:w="1584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Independent recall within 5±1 min</w:t>
            </w:r>
          </w:p>
        </w:tc>
        <w:tc>
          <w:tcPr>
            <w:tcW w:type="dxa" w:w="1872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Completely forgets; brain fog prospective memory failure</w:t>
            </w:r>
          </w:p>
        </w:tc>
        <w:tc>
          <w:tcPr>
            <w:tcW w:type="dxa" w:w="1872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Recalls but extremely effortful; 'had to work very hard to remember'; Long COVID</w:t>
            </w:r>
          </w:p>
        </w:tc>
        <w:tc>
          <w:tcPr>
            <w:tcW w:type="dxa" w:w="864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</w:r>
          </w:p>
        </w:tc>
      </w:tr>
      <w:tr>
        <w:tc>
          <w:tcPr>
            <w:tcW w:type="dxa" w:w="1584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Default Narrative — Long COVID Impact</w:t>
            </w:r>
          </w:p>
        </w:tc>
        <w:tc>
          <w:tcPr>
            <w:tcW w:type="dxa" w:w="2736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Ask: 'How has Long COVID changed your daily life?' Rate coherence and emotional content.</w:t>
            </w:r>
          </w:p>
        </w:tc>
        <w:tc>
          <w:tcPr>
            <w:tcW w:type="dxa" w:w="1584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Coherent; realistic adjustment; some positive coping</w:t>
            </w:r>
          </w:p>
        </w:tc>
        <w:tc>
          <w:tcPr>
            <w:tcW w:type="dxa" w:w="1872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Sparse; minimizes impact; suppression</w:t>
            </w:r>
          </w:p>
        </w:tc>
        <w:tc>
          <w:tcPr>
            <w:tcW w:type="dxa" w:w="1872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Overwhelmed narrative; profound disability; grief over lost function; Long COVID</w:t>
            </w:r>
          </w:p>
        </w:tc>
        <w:tc>
          <w:tcPr>
            <w:tcW w:type="dxa" w:w="864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</w:r>
          </w:p>
        </w:tc>
      </w:tr>
    </w:tbl>
    <w:p/>
    <w:p>
      <w:pPr>
        <w:shd w:val="clear" w:color="auto" w:fill="7B2D8E"/>
        <w:spacing w:before="80" w:after="120"/>
      </w:pPr>
      <w:r>
        <w:rPr>
          <w:rFonts w:ascii="Calibri" w:hAnsi="Calibri"/>
          <w:b/>
          <w:i w:val="0"/>
          <w:color w:val="FFFFFF"/>
          <w:sz w:val="20"/>
        </w:rPr>
        <w:t xml:space="preserve">🟣 FNON NOTE: </w:t>
      </w:r>
      <w:r>
        <w:rPr>
          <w:rFonts w:ascii="Calibri" w:hAnsi="Calibri"/>
          <w:b w:val="0"/>
          <w:i w:val="0"/>
          <w:color w:val="FFFFFF"/>
          <w:sz w:val="20"/>
        </w:rPr>
        <w:t>Long COVID Relevance: Long COVID causes DMN HYPOACTIVITY through neuroinflammation-mediated default mode disruption: brain fog reflects impaired default mode efficiency, poor spontaneous cognition, and reduced self-referential processing. The 'mental blankness' of brain fog maps to DMN HYPO.</w:t>
      </w:r>
    </w:p>
    <w:p>
      <w:pPr>
        <w:spacing w:after="160"/>
      </w:pPr>
      <w:r>
        <w:rPr>
          <w:rFonts w:ascii="Calibri" w:hAnsi="Calibri"/>
          <w:b/>
          <w:i w:val="0"/>
          <w:color w:val="1B3A5C"/>
          <w:sz w:val="22"/>
        </w:rPr>
        <w:t>Default Mode Network (DMN) Total: _____ / 14</w:t>
      </w:r>
    </w:p>
    <w:p>
      <w:pPr>
        <w:spacing w:before="120" w:after="80"/>
      </w:pPr>
      <w:r>
        <w:rPr>
          <w:rFonts w:ascii="Calibri" w:hAnsi="Calibri"/>
          <w:b/>
          <w:i w:val="0"/>
          <w:color w:val="2E75B6"/>
          <w:sz w:val="24"/>
        </w:rPr>
        <w:t>Central Executive Network (CEN/FPN) — Max Score: 14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1B3A5C"/>
          <w:left w:val="single" w:sz="4" w:space="0" w:color="1B3A5C"/>
          <w:bottom w:val="single" w:sz="4" w:space="0" w:color="1B3A5C"/>
          <w:right w:val="single" w:sz="4" w:space="0" w:color="1B3A5C"/>
          <w:insideH w:val="single" w:sz="4" w:space="0" w:color="1B3A5C"/>
          <w:insideV w:val="single" w:sz="4" w:space="0" w:color="1B3A5C"/>
        </w:tblBorders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84"/>
            <w:shd w:val="clear" w:color="auto" w:fill="1B3A5C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Bedside Test</w:t>
            </w:r>
          </w:p>
        </w:tc>
        <w:tc>
          <w:tcPr>
            <w:tcW w:type="dxa" w:w="2736"/>
            <w:shd w:val="clear" w:color="auto" w:fill="1B3A5C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How to Perform</w:t>
            </w:r>
          </w:p>
        </w:tc>
        <w:tc>
          <w:tcPr>
            <w:tcW w:type="dxa" w:w="1584"/>
            <w:shd w:val="clear" w:color="auto" w:fill="1B3A5C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Normal</w:t>
            </w:r>
          </w:p>
        </w:tc>
        <w:tc>
          <w:tcPr>
            <w:tcW w:type="dxa" w:w="1872"/>
            <w:shd w:val="clear" w:color="auto" w:fill="1B3A5C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HYPO (1)</w:t>
            </w:r>
          </w:p>
        </w:tc>
        <w:tc>
          <w:tcPr>
            <w:tcW w:type="dxa" w:w="1872"/>
            <w:shd w:val="clear" w:color="auto" w:fill="1B3A5C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HYPER (2)</w:t>
            </w:r>
          </w:p>
        </w:tc>
        <w:tc>
          <w:tcPr>
            <w:tcW w:type="dxa" w:w="864"/>
            <w:shd w:val="clear" w:color="auto" w:fill="1B3A5C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Score</w:t>
            </w:r>
          </w:p>
        </w:tc>
      </w:tr>
      <w:tr>
        <w:tc>
          <w:tcPr>
            <w:tcW w:type="dxa" w:w="1584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Digit Span Backward</w:t>
            </w:r>
          </w:p>
        </w:tc>
        <w:tc>
          <w:tcPr>
            <w:tcW w:type="dxa" w:w="2736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Backward digit recall. Maximum span. Note effort vs performance.</w:t>
            </w:r>
          </w:p>
        </w:tc>
        <w:tc>
          <w:tcPr>
            <w:tcW w:type="dxa" w:w="1584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Span ≥5</w:t>
            </w:r>
          </w:p>
        </w:tc>
        <w:tc>
          <w:tcPr>
            <w:tcW w:type="dxa" w:w="1872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Span ≤3; brain fog working memory failure; Long COVID CEN HYPO</w:t>
            </w:r>
          </w:p>
        </w:tc>
        <w:tc>
          <w:tcPr>
            <w:tcW w:type="dxa" w:w="1872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Span 4; effortful; 'harder than it should be'; Long COVID CEN</w:t>
            </w:r>
          </w:p>
        </w:tc>
        <w:tc>
          <w:tcPr>
            <w:tcW w:type="dxa" w:w="864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</w:r>
          </w:p>
        </w:tc>
      </w:tr>
      <w:tr>
        <w:tc>
          <w:tcPr>
            <w:tcW w:type="dxa" w:w="1584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Trail Making B</w:t>
            </w:r>
          </w:p>
        </w:tc>
        <w:tc>
          <w:tcPr>
            <w:tcW w:type="dxa" w:w="2736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Alternating connections. Time and errors.</w:t>
            </w:r>
          </w:p>
        </w:tc>
        <w:tc>
          <w:tcPr>
            <w:tcW w:type="dxa" w:w="1584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&lt;90 sec; ≤2 errors</w:t>
            </w:r>
          </w:p>
        </w:tc>
        <w:tc>
          <w:tcPr>
            <w:tcW w:type="dxa" w:w="1872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Slow &gt;150 sec; multiple errors; Long COVID CEN failure</w:t>
            </w:r>
          </w:p>
        </w:tc>
        <w:tc>
          <w:tcPr>
            <w:tcW w:type="dxa" w:w="1872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90-150 sec; moderate slowing; brain fog CEN vulnerability</w:t>
            </w:r>
          </w:p>
        </w:tc>
        <w:tc>
          <w:tcPr>
            <w:tcW w:type="dxa" w:w="864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</w:r>
          </w:p>
        </w:tc>
      </w:tr>
      <w:tr>
        <w:tc>
          <w:tcPr>
            <w:tcW w:type="dxa" w:w="1584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Processing Speed — Symbol Digit</w:t>
            </w:r>
          </w:p>
        </w:tc>
        <w:tc>
          <w:tcPr>
            <w:tcW w:type="dxa" w:w="2736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Copy symbols under numbers for 60 sec. Count correct pairs.</w:t>
            </w:r>
          </w:p>
        </w:tc>
        <w:tc>
          <w:tcPr>
            <w:tcW w:type="dxa" w:w="1584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≥40 pairs in 60 sec</w:t>
            </w:r>
          </w:p>
        </w:tc>
        <w:tc>
          <w:tcPr>
            <w:tcW w:type="dxa" w:w="1872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&lt;20 pairs; severe processing speed failure; Long COVID brain fog core</w:t>
            </w:r>
          </w:p>
        </w:tc>
        <w:tc>
          <w:tcPr>
            <w:tcW w:type="dxa" w:w="1872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20-39 pairs; mild-moderate; brain fog processing speed</w:t>
            </w:r>
          </w:p>
        </w:tc>
        <w:tc>
          <w:tcPr>
            <w:tcW w:type="dxa" w:w="864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</w:r>
          </w:p>
        </w:tc>
      </w:tr>
      <w:tr>
        <w:tc>
          <w:tcPr>
            <w:tcW w:type="dxa" w:w="1584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Verbal Fluency FAS</w:t>
            </w:r>
          </w:p>
        </w:tc>
        <w:tc>
          <w:tcPr>
            <w:tcW w:type="dxa" w:w="2736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Letter fluency 60 sec per letter.</w:t>
            </w:r>
          </w:p>
        </w:tc>
        <w:tc>
          <w:tcPr>
            <w:tcW w:type="dxa" w:w="1584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≥10 words/letter</w:t>
            </w:r>
          </w:p>
        </w:tc>
        <w:tc>
          <w:tcPr>
            <w:tcW w:type="dxa" w:w="1872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&lt;6; brain fog verbal fluency failure</w:t>
            </w:r>
          </w:p>
        </w:tc>
        <w:tc>
          <w:tcPr>
            <w:tcW w:type="dxa" w:w="1872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6-9 words; reduced; Long COVID brain fog</w:t>
            </w:r>
          </w:p>
        </w:tc>
        <w:tc>
          <w:tcPr>
            <w:tcW w:type="dxa" w:w="864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</w:r>
          </w:p>
        </w:tc>
      </w:tr>
      <w:tr>
        <w:tc>
          <w:tcPr>
            <w:tcW w:type="dxa" w:w="1584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Stroop Interference</w:t>
            </w:r>
          </w:p>
        </w:tc>
        <w:tc>
          <w:tcPr>
            <w:tcW w:type="dxa" w:w="2736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Name ink color. Time and errors.</w:t>
            </w:r>
          </w:p>
        </w:tc>
        <w:tc>
          <w:tcPr>
            <w:tcW w:type="dxa" w:w="1584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&lt;45 sec; ≤3 errors</w:t>
            </w:r>
          </w:p>
        </w:tc>
        <w:tc>
          <w:tcPr>
            <w:tcW w:type="dxa" w:w="1872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Slow &gt;90 sec; brain fog executive failure</w:t>
            </w:r>
          </w:p>
        </w:tc>
        <w:tc>
          <w:tcPr>
            <w:tcW w:type="dxa" w:w="1872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45-75 sec; moderate slowing; Long COVID processing speed + executive</w:t>
            </w:r>
          </w:p>
        </w:tc>
        <w:tc>
          <w:tcPr>
            <w:tcW w:type="dxa" w:w="864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</w:r>
          </w:p>
        </w:tc>
      </w:tr>
      <w:tr>
        <w:tc>
          <w:tcPr>
            <w:tcW w:type="dxa" w:w="1584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Serial 7 Subtraction</w:t>
            </w:r>
          </w:p>
        </w:tc>
        <w:tc>
          <w:tcPr>
            <w:tcW w:type="dxa" w:w="2736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Backward 100-7 for 5 steps.</w:t>
            </w:r>
          </w:p>
        </w:tc>
        <w:tc>
          <w:tcPr>
            <w:tcW w:type="dxa" w:w="1584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5/5 correct</w:t>
            </w:r>
          </w:p>
        </w:tc>
        <w:tc>
          <w:tcPr>
            <w:tcW w:type="dxa" w:w="1872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≤2/5; brain fog working memory failure</w:t>
            </w:r>
          </w:p>
        </w:tc>
        <w:tc>
          <w:tcPr>
            <w:tcW w:type="dxa" w:w="1872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3-4/5; mild errors; brain fog CEN involvement</w:t>
            </w:r>
          </w:p>
        </w:tc>
        <w:tc>
          <w:tcPr>
            <w:tcW w:type="dxa" w:w="864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</w:r>
          </w:p>
        </w:tc>
      </w:tr>
      <w:tr>
        <w:tc>
          <w:tcPr>
            <w:tcW w:type="dxa" w:w="1584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Go/No-Go Task</w:t>
            </w:r>
          </w:p>
        </w:tc>
        <w:tc>
          <w:tcPr>
            <w:tcW w:type="dxa" w:w="2736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Tap for all except X. 20 letters.</w:t>
            </w:r>
          </w:p>
        </w:tc>
        <w:tc>
          <w:tcPr>
            <w:tcW w:type="dxa" w:w="1584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≤2 commission; ≤2 omission</w:t>
            </w:r>
          </w:p>
        </w:tc>
        <w:tc>
          <w:tcPr>
            <w:tcW w:type="dxa" w:w="1872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High omissions; brain fog poor initiation</w:t>
            </w:r>
          </w:p>
        </w:tc>
        <w:tc>
          <w:tcPr>
            <w:tcW w:type="dxa" w:w="1872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2-4 errors; mild; brain fog response inhibition</w:t>
            </w:r>
          </w:p>
        </w:tc>
        <w:tc>
          <w:tcPr>
            <w:tcW w:type="dxa" w:w="864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</w:r>
          </w:p>
        </w:tc>
      </w:tr>
    </w:tbl>
    <w:p/>
    <w:p>
      <w:pPr>
        <w:shd w:val="clear" w:color="auto" w:fill="7B2D8E"/>
        <w:spacing w:before="80" w:after="120"/>
      </w:pPr>
      <w:r>
        <w:rPr>
          <w:rFonts w:ascii="Calibri" w:hAnsi="Calibri"/>
          <w:b/>
          <w:i w:val="0"/>
          <w:color w:val="FFFFFF"/>
          <w:sz w:val="20"/>
        </w:rPr>
        <w:t xml:space="preserve">🟣 FNON NOTE: </w:t>
      </w:r>
      <w:r>
        <w:rPr>
          <w:rFonts w:ascii="Calibri" w:hAnsi="Calibri"/>
          <w:b w:val="0"/>
          <w:i w:val="0"/>
          <w:color w:val="FFFFFF"/>
          <w:sz w:val="20"/>
        </w:rPr>
        <w:t>Long COVID Relevance: CEN HYPOACTIVITY is the core of Long COVID brain fog: working memory failure, slowed processing speed, and executive dysfunction reflect frontal-network neuroinflammation. Patients describe 'thinking through fog' — CEN HYPO from microglial activation and cerebrovascular dysfunction.</w:t>
      </w:r>
    </w:p>
    <w:p>
      <w:pPr>
        <w:spacing w:after="160"/>
      </w:pPr>
      <w:r>
        <w:rPr>
          <w:rFonts w:ascii="Calibri" w:hAnsi="Calibri"/>
          <w:b/>
          <w:i w:val="0"/>
          <w:color w:val="1B3A5C"/>
          <w:sz w:val="22"/>
        </w:rPr>
        <w:t>Central Executive Network (CEN/FPN) Total: _____ / 14</w:t>
      </w:r>
    </w:p>
    <w:p>
      <w:pPr>
        <w:spacing w:before="120" w:after="80"/>
      </w:pPr>
      <w:r>
        <w:rPr>
          <w:rFonts w:ascii="Calibri" w:hAnsi="Calibri"/>
          <w:b/>
          <w:i w:val="0"/>
          <w:color w:val="2E75B6"/>
          <w:sz w:val="24"/>
        </w:rPr>
        <w:t>Salience Network (SN) — Max Score: 14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1B3A5C"/>
          <w:left w:val="single" w:sz="4" w:space="0" w:color="1B3A5C"/>
          <w:bottom w:val="single" w:sz="4" w:space="0" w:color="1B3A5C"/>
          <w:right w:val="single" w:sz="4" w:space="0" w:color="1B3A5C"/>
          <w:insideH w:val="single" w:sz="4" w:space="0" w:color="1B3A5C"/>
          <w:insideV w:val="single" w:sz="4" w:space="0" w:color="1B3A5C"/>
        </w:tblBorders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84"/>
            <w:shd w:val="clear" w:color="auto" w:fill="1B3A5C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Bedside Test</w:t>
            </w:r>
          </w:p>
        </w:tc>
        <w:tc>
          <w:tcPr>
            <w:tcW w:type="dxa" w:w="2736"/>
            <w:shd w:val="clear" w:color="auto" w:fill="1B3A5C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How to Perform</w:t>
            </w:r>
          </w:p>
        </w:tc>
        <w:tc>
          <w:tcPr>
            <w:tcW w:type="dxa" w:w="1584"/>
            <w:shd w:val="clear" w:color="auto" w:fill="1B3A5C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Normal</w:t>
            </w:r>
          </w:p>
        </w:tc>
        <w:tc>
          <w:tcPr>
            <w:tcW w:type="dxa" w:w="1872"/>
            <w:shd w:val="clear" w:color="auto" w:fill="1B3A5C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HYPO (1)</w:t>
            </w:r>
          </w:p>
        </w:tc>
        <w:tc>
          <w:tcPr>
            <w:tcW w:type="dxa" w:w="1872"/>
            <w:shd w:val="clear" w:color="auto" w:fill="1B3A5C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HYPER (2)</w:t>
            </w:r>
          </w:p>
        </w:tc>
        <w:tc>
          <w:tcPr>
            <w:tcW w:type="dxa" w:w="864"/>
            <w:shd w:val="clear" w:color="auto" w:fill="1B3A5C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Score</w:t>
            </w:r>
          </w:p>
        </w:tc>
      </w:tr>
      <w:tr>
        <w:tc>
          <w:tcPr>
            <w:tcW w:type="dxa" w:w="1584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Dysautonomia Screen — POTS Proxy</w:t>
            </w:r>
          </w:p>
        </w:tc>
        <w:tc>
          <w:tcPr>
            <w:tcW w:type="dxa" w:w="2736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Ask: 'Do you feel dizzy or worse when standing?' Rate orthostatic symptoms 0-10.</w:t>
            </w:r>
          </w:p>
        </w:tc>
        <w:tc>
          <w:tcPr>
            <w:tcW w:type="dxa" w:w="1584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0-2; no orthostatic symptoms; autonomic stability</w:t>
            </w:r>
          </w:p>
        </w:tc>
        <w:tc>
          <w:tcPr>
            <w:tcW w:type="dxa" w:w="1872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0; no dysautonomia; mild or recovered Long COVID</w:t>
            </w:r>
          </w:p>
        </w:tc>
        <w:tc>
          <w:tcPr>
            <w:tcW w:type="dxa" w:w="1872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≥6; orthostatic intolerance; Long COVID autonomic SN dysfunction</w:t>
            </w:r>
          </w:p>
        </w:tc>
        <w:tc>
          <w:tcPr>
            <w:tcW w:type="dxa" w:w="864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</w:r>
          </w:p>
        </w:tc>
      </w:tr>
      <w:tr>
        <w:tc>
          <w:tcPr>
            <w:tcW w:type="dxa" w:w="1584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Sensory Sensitivity Screen</w:t>
            </w:r>
          </w:p>
        </w:tc>
        <w:tc>
          <w:tcPr>
            <w:tcW w:type="dxa" w:w="2736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Rate discomfort with light, sound, smell 0-10 each.</w:t>
            </w:r>
          </w:p>
        </w:tc>
        <w:tc>
          <w:tcPr>
            <w:tcW w:type="dxa" w:w="1584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All ≤4; no hypersensitivity</w:t>
            </w:r>
          </w:p>
        </w:tc>
        <w:tc>
          <w:tcPr>
            <w:tcW w:type="dxa" w:w="1872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All ≤2; sensory blunting; severe or atypical Long COVID</w:t>
            </w:r>
          </w:p>
        </w:tc>
        <w:tc>
          <w:tcPr>
            <w:tcW w:type="dxa" w:w="1872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≥7 in ≥2 modalities; sensory hypersensitivity; Long COVID SN HYPER</w:t>
            </w:r>
          </w:p>
        </w:tc>
        <w:tc>
          <w:tcPr>
            <w:tcW w:type="dxa" w:w="864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</w:r>
          </w:p>
        </w:tc>
      </w:tr>
      <w:tr>
        <w:tc>
          <w:tcPr>
            <w:tcW w:type="dxa" w:w="1584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Interoception — Heartbeat Counting</w:t>
            </w:r>
          </w:p>
        </w:tc>
        <w:tc>
          <w:tcPr>
            <w:tcW w:type="dxa" w:w="2736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Count heartbeats 25 sec without touch.</w:t>
            </w:r>
          </w:p>
        </w:tc>
        <w:tc>
          <w:tcPr>
            <w:tcW w:type="dxa" w:w="1584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Accuracy &gt;0.70</w:t>
            </w:r>
          </w:p>
        </w:tc>
        <w:tc>
          <w:tcPr>
            <w:tcW w:type="dxa" w:w="1872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Low accuracy &lt;0.50; poor body awareness despite symptoms; dissociation</w:t>
            </w:r>
          </w:p>
        </w:tc>
        <w:tc>
          <w:tcPr>
            <w:tcW w:type="dxa" w:w="1872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High accuracy but hyperaware of cardiac symptoms; Long COVID health anxiety</w:t>
            </w:r>
          </w:p>
        </w:tc>
        <w:tc>
          <w:tcPr>
            <w:tcW w:type="dxa" w:w="864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</w:r>
          </w:p>
        </w:tc>
      </w:tr>
      <w:tr>
        <w:tc>
          <w:tcPr>
            <w:tcW w:type="dxa" w:w="1584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Post-Exertional Malaise Screen</w:t>
            </w:r>
          </w:p>
        </w:tc>
        <w:tc>
          <w:tcPr>
            <w:tcW w:type="dxa" w:w="2736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Ask: 'Do symptoms worsen after physical or mental effort?' Rate PEM severity 0-10.</w:t>
            </w:r>
          </w:p>
        </w:tc>
        <w:tc>
          <w:tcPr>
            <w:tcW w:type="dxa" w:w="1584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0-2; normal fatigue after exertion; no PEM</w:t>
            </w:r>
          </w:p>
        </w:tc>
        <w:tc>
          <w:tcPr>
            <w:tcW w:type="dxa" w:w="1872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0; no PEM; mild or early Long COVID</w:t>
            </w:r>
          </w:p>
        </w:tc>
        <w:tc>
          <w:tcPr>
            <w:tcW w:type="dxa" w:w="1872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≥7; significant PEM; hallmark Long COVID SN-autonomic feature</w:t>
            </w:r>
          </w:p>
        </w:tc>
        <w:tc>
          <w:tcPr>
            <w:tcW w:type="dxa" w:w="864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</w:r>
          </w:p>
        </w:tc>
      </w:tr>
      <w:tr>
        <w:tc>
          <w:tcPr>
            <w:tcW w:type="dxa" w:w="1584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Error Monitoring</w:t>
            </w:r>
          </w:p>
        </w:tc>
        <w:tc>
          <w:tcPr>
            <w:tcW w:type="dxa" w:w="2736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Sentence with 2 errors. Spontaneous correction.</w:t>
            </w:r>
          </w:p>
        </w:tc>
        <w:tc>
          <w:tcPr>
            <w:tcW w:type="dxa" w:w="1584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Catches ≥1; calm correction</w:t>
            </w:r>
          </w:p>
        </w:tc>
        <w:tc>
          <w:tcPr>
            <w:tcW w:type="dxa" w:w="1872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Misses both; brain fog impairs ACC error monitoring</w:t>
            </w:r>
          </w:p>
        </w:tc>
        <w:tc>
          <w:tcPr>
            <w:tcW w:type="dxa" w:w="1872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Catches errors; significant distress; 'can't believe I missed that'; Long COVID mood</w:t>
            </w:r>
          </w:p>
        </w:tc>
        <w:tc>
          <w:tcPr>
            <w:tcW w:type="dxa" w:w="864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</w:r>
          </w:p>
        </w:tc>
      </w:tr>
      <w:tr>
        <w:tc>
          <w:tcPr>
            <w:tcW w:type="dxa" w:w="1584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Sensory Switching</w:t>
            </w:r>
          </w:p>
        </w:tc>
        <w:tc>
          <w:tcPr>
            <w:tcW w:type="dxa" w:w="2736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Alternate visual and auditory tasks. Note symptom increase with switching.</w:t>
            </w:r>
          </w:p>
        </w:tc>
        <w:tc>
          <w:tcPr>
            <w:tcW w:type="dxa" w:w="1584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&lt;2 sec; smooth; no symptom increase</w:t>
            </w:r>
          </w:p>
        </w:tc>
        <w:tc>
          <w:tcPr>
            <w:tcW w:type="dxa" w:w="1872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Slow; brain fog switching failure</w:t>
            </w:r>
          </w:p>
        </w:tc>
        <w:tc>
          <w:tcPr>
            <w:tcW w:type="dxa" w:w="1872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Fast but triggers headache or cognitive fatigue; Long COVID SN overload</w:t>
            </w:r>
          </w:p>
        </w:tc>
        <w:tc>
          <w:tcPr>
            <w:tcW w:type="dxa" w:w="864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</w:r>
          </w:p>
        </w:tc>
      </w:tr>
      <w:tr>
        <w:tc>
          <w:tcPr>
            <w:tcW w:type="dxa" w:w="1584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Orienting Response</w:t>
            </w:r>
          </w:p>
        </w:tc>
        <w:tc>
          <w:tcPr>
            <w:tcW w:type="dxa" w:w="2736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Unexpected auditory tone mid-task.</w:t>
            </w:r>
          </w:p>
        </w:tc>
        <w:tc>
          <w:tcPr>
            <w:tcW w:type="dxa" w:w="1584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Brief interruption; reorientation &lt;3 sec</w:t>
            </w:r>
          </w:p>
        </w:tc>
        <w:tc>
          <w:tcPr>
            <w:tcW w:type="dxa" w:w="1872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Absent orienting; mental fog; blunted response</w:t>
            </w:r>
          </w:p>
        </w:tc>
        <w:tc>
          <w:tcPr>
            <w:tcW w:type="dxa" w:w="1872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Exaggerated; triggers cognitive fatigue; sensory overload</w:t>
            </w:r>
          </w:p>
        </w:tc>
        <w:tc>
          <w:tcPr>
            <w:tcW w:type="dxa" w:w="864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</w:r>
          </w:p>
        </w:tc>
      </w:tr>
    </w:tbl>
    <w:p/>
    <w:p>
      <w:pPr>
        <w:shd w:val="clear" w:color="auto" w:fill="7B2D8E"/>
        <w:spacing w:before="80" w:after="120"/>
      </w:pPr>
      <w:r>
        <w:rPr>
          <w:rFonts w:ascii="Calibri" w:hAnsi="Calibri"/>
          <w:b/>
          <w:i w:val="0"/>
          <w:color w:val="FFFFFF"/>
          <w:sz w:val="20"/>
        </w:rPr>
        <w:t xml:space="preserve">🟣 FNON NOTE: </w:t>
      </w:r>
      <w:r>
        <w:rPr>
          <w:rFonts w:ascii="Calibri" w:hAnsi="Calibri"/>
          <w:b w:val="0"/>
          <w:i w:val="0"/>
          <w:color w:val="FFFFFF"/>
          <w:sz w:val="20"/>
        </w:rPr>
        <w:t>Long COVID Relevance: Long COVID SN shows HYPER/dysregulated function: dysautonomia (POTS, orthostatic intolerance), interoceptive hypersensitivity, and autonomic volatility reflect SN-autonomic dysfunction. Some patients show sensory hypersensitivity (light, sound, smell) from central sensitization.</w:t>
      </w:r>
    </w:p>
    <w:p>
      <w:pPr>
        <w:spacing w:after="160"/>
      </w:pPr>
      <w:r>
        <w:rPr>
          <w:rFonts w:ascii="Calibri" w:hAnsi="Calibri"/>
          <w:b/>
          <w:i w:val="0"/>
          <w:color w:val="1B3A5C"/>
          <w:sz w:val="22"/>
        </w:rPr>
        <w:t>Salience Network (SN) Total: _____ / 14</w:t>
      </w:r>
    </w:p>
    <w:p>
      <w:pPr>
        <w:spacing w:before="120" w:after="80"/>
      </w:pPr>
      <w:r>
        <w:rPr>
          <w:rFonts w:ascii="Calibri" w:hAnsi="Calibri"/>
          <w:b/>
          <w:i w:val="0"/>
          <w:color w:val="2E75B6"/>
          <w:sz w:val="24"/>
        </w:rPr>
        <w:t>Sensorimotor Network (SMN) — Max Score: 16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1B3A5C"/>
          <w:left w:val="single" w:sz="4" w:space="0" w:color="1B3A5C"/>
          <w:bottom w:val="single" w:sz="4" w:space="0" w:color="1B3A5C"/>
          <w:right w:val="single" w:sz="4" w:space="0" w:color="1B3A5C"/>
          <w:insideH w:val="single" w:sz="4" w:space="0" w:color="1B3A5C"/>
          <w:insideV w:val="single" w:sz="4" w:space="0" w:color="1B3A5C"/>
        </w:tblBorders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84"/>
            <w:shd w:val="clear" w:color="auto" w:fill="1B3A5C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Bedside Test</w:t>
            </w:r>
          </w:p>
        </w:tc>
        <w:tc>
          <w:tcPr>
            <w:tcW w:type="dxa" w:w="2736"/>
            <w:shd w:val="clear" w:color="auto" w:fill="1B3A5C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How to Perform</w:t>
            </w:r>
          </w:p>
        </w:tc>
        <w:tc>
          <w:tcPr>
            <w:tcW w:type="dxa" w:w="1584"/>
            <w:shd w:val="clear" w:color="auto" w:fill="1B3A5C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Normal</w:t>
            </w:r>
          </w:p>
        </w:tc>
        <w:tc>
          <w:tcPr>
            <w:tcW w:type="dxa" w:w="1872"/>
            <w:shd w:val="clear" w:color="auto" w:fill="1B3A5C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HYPO (1)</w:t>
            </w:r>
          </w:p>
        </w:tc>
        <w:tc>
          <w:tcPr>
            <w:tcW w:type="dxa" w:w="1872"/>
            <w:shd w:val="clear" w:color="auto" w:fill="1B3A5C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HYPER (2)</w:t>
            </w:r>
          </w:p>
        </w:tc>
        <w:tc>
          <w:tcPr>
            <w:tcW w:type="dxa" w:w="864"/>
            <w:shd w:val="clear" w:color="auto" w:fill="1B3A5C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Score</w:t>
            </w:r>
          </w:p>
        </w:tc>
      </w:tr>
      <w:tr>
        <w:tc>
          <w:tcPr>
            <w:tcW w:type="dxa" w:w="1584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Post-Exertional Motor Assessment</w:t>
            </w:r>
          </w:p>
        </w:tc>
        <w:tc>
          <w:tcPr>
            <w:tcW w:type="dxa" w:w="2736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Finger tapping 10 sec each hand. Then wait 2 min and repeat. Compare pre-post exertion.</w:t>
            </w:r>
          </w:p>
        </w:tc>
        <w:tc>
          <w:tcPr>
            <w:tcW w:type="dxa" w:w="1584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≥45 taps; no significant reduction on repeat</w:t>
            </w:r>
          </w:p>
        </w:tc>
        <w:tc>
          <w:tcPr>
            <w:tcW w:type="dxa" w:w="1872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&lt;35 taps at baseline; severe Long COVID motor impairment</w:t>
            </w:r>
          </w:p>
        </w:tc>
        <w:tc>
          <w:tcPr>
            <w:tcW w:type="dxa" w:w="1872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Normal baseline; ≥20% decline on repeat; post-exertional motor fatigue; Long COVID SMN</w:t>
            </w:r>
          </w:p>
        </w:tc>
        <w:tc>
          <w:tcPr>
            <w:tcW w:type="dxa" w:w="864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</w:r>
          </w:p>
        </w:tc>
      </w:tr>
      <w:tr>
        <w:tc>
          <w:tcPr>
            <w:tcW w:type="dxa" w:w="1584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Grip Assessment — Fatigue</w:t>
            </w:r>
          </w:p>
        </w:tc>
        <w:tc>
          <w:tcPr>
            <w:tcW w:type="dxa" w:w="2736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Bilateral grip. Perform 3 repetitions. Note fatigue across repetitions.</w:t>
            </w:r>
          </w:p>
        </w:tc>
        <w:tc>
          <w:tcPr>
            <w:tcW w:type="dxa" w:w="1584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Firm symmetric; no fatigue across 3 reps</w:t>
            </w:r>
          </w:p>
        </w:tc>
        <w:tc>
          <w:tcPr>
            <w:tcW w:type="dxa" w:w="1872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Weak bilateral; Long COVID motor weakness</w:t>
            </w:r>
          </w:p>
        </w:tc>
        <w:tc>
          <w:tcPr>
            <w:tcW w:type="dxa" w:w="1872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Normal first grip; significant reduction by third; Long COVID motor fatigability</w:t>
            </w:r>
          </w:p>
        </w:tc>
        <w:tc>
          <w:tcPr>
            <w:tcW w:type="dxa" w:w="864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</w:r>
          </w:p>
        </w:tc>
      </w:tr>
      <w:tr>
        <w:tc>
          <w:tcPr>
            <w:tcW w:type="dxa" w:w="1584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Fine Motor Sequencing</w:t>
            </w:r>
          </w:p>
        </w:tc>
        <w:tc>
          <w:tcPr>
            <w:tcW w:type="dxa" w:w="2736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Thumb-to-finger 10 sec.</w:t>
            </w:r>
          </w:p>
        </w:tc>
        <w:tc>
          <w:tcPr>
            <w:tcW w:type="dxa" w:w="1584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≥4 sequences; consistent</w:t>
            </w:r>
          </w:p>
        </w:tc>
        <w:tc>
          <w:tcPr>
            <w:tcW w:type="dxa" w:w="1872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≤2; brain fog fine motor failure</w:t>
            </w:r>
          </w:p>
        </w:tc>
        <w:tc>
          <w:tcPr>
            <w:tcW w:type="dxa" w:w="1872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3 sequences; effortful; post-exertional susceptibility</w:t>
            </w:r>
          </w:p>
        </w:tc>
        <w:tc>
          <w:tcPr>
            <w:tcW w:type="dxa" w:w="864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</w:r>
          </w:p>
        </w:tc>
      </w:tr>
      <w:tr>
        <w:tc>
          <w:tcPr>
            <w:tcW w:type="dxa" w:w="1584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Tandem Gait</w:t>
            </w:r>
          </w:p>
        </w:tc>
        <w:tc>
          <w:tcPr>
            <w:tcW w:type="dxa" w:w="2736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Heel-to-toe 10 steps.</w:t>
            </w:r>
          </w:p>
        </w:tc>
        <w:tc>
          <w:tcPr>
            <w:tcW w:type="dxa" w:w="1584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≤1 step off; consistent pace</w:t>
            </w:r>
          </w:p>
        </w:tc>
        <w:tc>
          <w:tcPr>
            <w:tcW w:type="dxa" w:w="1872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Multiple failures; Long COVID motor ataxia or extreme fatigue</w:t>
            </w:r>
          </w:p>
        </w:tc>
        <w:tc>
          <w:tcPr>
            <w:tcW w:type="dxa" w:w="1872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Normal but very slow; highly cautious; Long COVID deconditioning pattern</w:t>
            </w:r>
          </w:p>
        </w:tc>
        <w:tc>
          <w:tcPr>
            <w:tcW w:type="dxa" w:w="864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</w:r>
          </w:p>
        </w:tc>
      </w:tr>
      <w:tr>
        <w:tc>
          <w:tcPr>
            <w:tcW w:type="dxa" w:w="1584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Romberg Test</w:t>
            </w:r>
          </w:p>
        </w:tc>
        <w:tc>
          <w:tcPr>
            <w:tcW w:type="dxa" w:w="2736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Feet together eyes closed 30 sec.</w:t>
            </w:r>
          </w:p>
        </w:tc>
        <w:tc>
          <w:tcPr>
            <w:tcW w:type="dxa" w:w="1584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Stable; minimal sway</w:t>
            </w:r>
          </w:p>
        </w:tc>
        <w:tc>
          <w:tcPr>
            <w:tcW w:type="dxa" w:w="1872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Excessive sway; Long COVID autonomic/proprioceptive involvement</w:t>
            </w:r>
          </w:p>
        </w:tc>
        <w:tc>
          <w:tcPr>
            <w:tcW w:type="dxa" w:w="1872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Stable but patient reports dizziness; dysautonomia contribution to balance</w:t>
            </w:r>
          </w:p>
        </w:tc>
        <w:tc>
          <w:tcPr>
            <w:tcW w:type="dxa" w:w="864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</w:r>
          </w:p>
        </w:tc>
      </w:tr>
      <w:tr>
        <w:tc>
          <w:tcPr>
            <w:tcW w:type="dxa" w:w="1584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Rapid Alternating Movements</w:t>
            </w:r>
          </w:p>
        </w:tc>
        <w:tc>
          <w:tcPr>
            <w:tcW w:type="dxa" w:w="2736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Pronate/supinate 10 sec. Note fatigue.</w:t>
            </w:r>
          </w:p>
        </w:tc>
        <w:tc>
          <w:tcPr>
            <w:tcW w:type="dxa" w:w="1584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Regular; ≥14 cycles</w:t>
            </w:r>
          </w:p>
        </w:tc>
        <w:tc>
          <w:tcPr>
            <w:tcW w:type="dxa" w:w="1872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Slow; Long COVID motor fatigue</w:t>
            </w:r>
          </w:p>
        </w:tc>
        <w:tc>
          <w:tcPr>
            <w:tcW w:type="dxa" w:w="1872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Normal first 5 sec; slows last 5 sec; Long COVID motor fatigability</w:t>
            </w:r>
          </w:p>
        </w:tc>
        <w:tc>
          <w:tcPr>
            <w:tcW w:type="dxa" w:w="864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</w:r>
          </w:p>
        </w:tc>
      </w:tr>
      <w:tr>
        <w:tc>
          <w:tcPr>
            <w:tcW w:type="dxa" w:w="1584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Activity Tolerance Assessment</w:t>
            </w:r>
          </w:p>
        </w:tc>
        <w:tc>
          <w:tcPr>
            <w:tcW w:type="dxa" w:w="2736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Ask: 'How much walking before symptom worsening?' Rate activity tolerance 0-10.</w:t>
            </w:r>
          </w:p>
        </w:tc>
        <w:tc>
          <w:tcPr>
            <w:tcW w:type="dxa" w:w="1584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≥7; able to perform normal daily activities</w:t>
            </w:r>
          </w:p>
        </w:tc>
        <w:tc>
          <w:tcPr>
            <w:tcW w:type="dxa" w:w="1872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≤2; severe activity intolerance; Long COVID disability</w:t>
            </w:r>
          </w:p>
        </w:tc>
        <w:tc>
          <w:tcPr>
            <w:tcW w:type="dxa" w:w="1872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3-5; moderate activity intolerance; Long COVID deconditioning + PEM</w:t>
            </w:r>
          </w:p>
        </w:tc>
        <w:tc>
          <w:tcPr>
            <w:tcW w:type="dxa" w:w="864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</w:r>
          </w:p>
        </w:tc>
      </w:tr>
      <w:tr>
        <w:tc>
          <w:tcPr>
            <w:tcW w:type="dxa" w:w="1584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Reaction Time</w:t>
            </w:r>
          </w:p>
        </w:tc>
        <w:tc>
          <w:tcPr>
            <w:tcW w:type="dxa" w:w="2736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Hand lift when pen drops. 3 trials.</w:t>
            </w:r>
          </w:p>
        </w:tc>
        <w:tc>
          <w:tcPr>
            <w:tcW w:type="dxa" w:w="1584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&lt;250 ms</w:t>
            </w:r>
          </w:p>
        </w:tc>
        <w:tc>
          <w:tcPr>
            <w:tcW w:type="dxa" w:w="1872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≥500 ms; brain fog psychomotor slowing</w:t>
            </w:r>
          </w:p>
        </w:tc>
        <w:tc>
          <w:tcPr>
            <w:tcW w:type="dxa" w:w="1872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250-400 ms; mild slowing; Long COVID processing speed and motor</w:t>
            </w:r>
          </w:p>
        </w:tc>
        <w:tc>
          <w:tcPr>
            <w:tcW w:type="dxa" w:w="864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</w:r>
          </w:p>
        </w:tc>
      </w:tr>
    </w:tbl>
    <w:p/>
    <w:p>
      <w:pPr>
        <w:shd w:val="clear" w:color="auto" w:fill="7B2D8E"/>
        <w:spacing w:before="80" w:after="120"/>
      </w:pPr>
      <w:r>
        <w:rPr>
          <w:rFonts w:ascii="Calibri" w:hAnsi="Calibri"/>
          <w:b/>
          <w:i w:val="0"/>
          <w:color w:val="FFFFFF"/>
          <w:sz w:val="20"/>
        </w:rPr>
        <w:t xml:space="preserve">🟣 FNON NOTE: </w:t>
      </w:r>
      <w:r>
        <w:rPr>
          <w:rFonts w:ascii="Calibri" w:hAnsi="Calibri"/>
          <w:b w:val="0"/>
          <w:i w:val="0"/>
          <w:color w:val="FFFFFF"/>
          <w:sz w:val="20"/>
        </w:rPr>
        <w:t>Long COVID Relevance: Long COVID SMN shows HYPOACTIVITY through post-exertional malaise: movement worsens symptoms, creating a cycle of deconditioning and SMN under-engagement. Muscle fatigue, weakness, and coordination difficulty reflect peripheral and central SMN dysfunction.</w:t>
      </w:r>
    </w:p>
    <w:p>
      <w:pPr>
        <w:spacing w:after="160"/>
      </w:pPr>
      <w:r>
        <w:rPr>
          <w:rFonts w:ascii="Calibri" w:hAnsi="Calibri"/>
          <w:b/>
          <w:i w:val="0"/>
          <w:color w:val="1B3A5C"/>
          <w:sz w:val="22"/>
        </w:rPr>
        <w:t>Sensorimotor Network (SMN) Total: _____ / 16</w:t>
      </w:r>
    </w:p>
    <w:p>
      <w:pPr>
        <w:spacing w:before="120" w:after="80"/>
      </w:pPr>
      <w:r>
        <w:rPr>
          <w:rFonts w:ascii="Calibri" w:hAnsi="Calibri"/>
          <w:b/>
          <w:i w:val="0"/>
          <w:color w:val="2E75B6"/>
          <w:sz w:val="24"/>
        </w:rPr>
        <w:t>Limbic / Emotional Network — Max Score: 14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1B3A5C"/>
          <w:left w:val="single" w:sz="4" w:space="0" w:color="1B3A5C"/>
          <w:bottom w:val="single" w:sz="4" w:space="0" w:color="1B3A5C"/>
          <w:right w:val="single" w:sz="4" w:space="0" w:color="1B3A5C"/>
          <w:insideH w:val="single" w:sz="4" w:space="0" w:color="1B3A5C"/>
          <w:insideV w:val="single" w:sz="4" w:space="0" w:color="1B3A5C"/>
        </w:tblBorders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84"/>
            <w:shd w:val="clear" w:color="auto" w:fill="1B3A5C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Bedside Test</w:t>
            </w:r>
          </w:p>
        </w:tc>
        <w:tc>
          <w:tcPr>
            <w:tcW w:type="dxa" w:w="2736"/>
            <w:shd w:val="clear" w:color="auto" w:fill="1B3A5C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How to Perform</w:t>
            </w:r>
          </w:p>
        </w:tc>
        <w:tc>
          <w:tcPr>
            <w:tcW w:type="dxa" w:w="1584"/>
            <w:shd w:val="clear" w:color="auto" w:fill="1B3A5C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Normal</w:t>
            </w:r>
          </w:p>
        </w:tc>
        <w:tc>
          <w:tcPr>
            <w:tcW w:type="dxa" w:w="1872"/>
            <w:shd w:val="clear" w:color="auto" w:fill="1B3A5C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HYPO (1)</w:t>
            </w:r>
          </w:p>
        </w:tc>
        <w:tc>
          <w:tcPr>
            <w:tcW w:type="dxa" w:w="1872"/>
            <w:shd w:val="clear" w:color="auto" w:fill="1B3A5C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HYPER (2)</w:t>
            </w:r>
          </w:p>
        </w:tc>
        <w:tc>
          <w:tcPr>
            <w:tcW w:type="dxa" w:w="864"/>
            <w:shd w:val="clear" w:color="auto" w:fill="1B3A5C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Score</w:t>
            </w:r>
          </w:p>
        </w:tc>
      </w:tr>
      <w:tr>
        <w:tc>
          <w:tcPr>
            <w:tcW w:type="dxa" w:w="1584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Long COVID Anxiety Screen</w:t>
            </w:r>
          </w:p>
        </w:tc>
        <w:tc>
          <w:tcPr>
            <w:tcW w:type="dxa" w:w="2736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Ask: 'Do you feel more anxious or worried about your health since Long COVID?' Rate 0-10.</w:t>
            </w:r>
          </w:p>
        </w:tc>
        <w:tc>
          <w:tcPr>
            <w:tcW w:type="dxa" w:w="1584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0-3; appropriate health concern; adaptive coping</w:t>
            </w:r>
          </w:p>
        </w:tc>
        <w:tc>
          <w:tcPr>
            <w:tcW w:type="dxa" w:w="1872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0; denial; suppression; minimizing Long COVID symptoms</w:t>
            </w:r>
          </w:p>
        </w:tc>
        <w:tc>
          <w:tcPr>
            <w:tcW w:type="dxa" w:w="1872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≥7; significant health anxiety; Long COVID neuroinflammatory limbic HYPER</w:t>
            </w:r>
          </w:p>
        </w:tc>
        <w:tc>
          <w:tcPr>
            <w:tcW w:type="dxa" w:w="864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</w:r>
          </w:p>
        </w:tc>
      </w:tr>
      <w:tr>
        <w:tc>
          <w:tcPr>
            <w:tcW w:type="dxa" w:w="1584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Emotional Face Recognition</w:t>
            </w:r>
          </w:p>
        </w:tc>
        <w:tc>
          <w:tcPr>
            <w:tcW w:type="dxa" w:w="2736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6 emotions from photos. Score /6.</w:t>
            </w:r>
          </w:p>
        </w:tc>
        <w:tc>
          <w:tcPr>
            <w:tcW w:type="dxa" w:w="1584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≥5/6 correct</w:t>
            </w:r>
          </w:p>
        </w:tc>
        <w:tc>
          <w:tcPr>
            <w:tcW w:type="dxa" w:w="1872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&lt;4/6; neuroinflammatory emotional recognition impairment</w:t>
            </w:r>
          </w:p>
        </w:tc>
        <w:tc>
          <w:tcPr>
            <w:tcW w:type="dxa" w:w="1872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4-5/6; mild; brain fog reduces emotional processing efficiency</w:t>
            </w:r>
          </w:p>
        </w:tc>
        <w:tc>
          <w:tcPr>
            <w:tcW w:type="dxa" w:w="864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</w:r>
          </w:p>
        </w:tc>
      </w:tr>
      <w:tr>
        <w:tc>
          <w:tcPr>
            <w:tcW w:type="dxa" w:w="1584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Affect Labeling</w:t>
            </w:r>
          </w:p>
        </w:tc>
        <w:tc>
          <w:tcPr>
            <w:tcW w:type="dxa" w:w="2736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3 emotional scenarios. Name response.</w:t>
            </w:r>
          </w:p>
        </w:tc>
        <w:tc>
          <w:tcPr>
            <w:tcW w:type="dxa" w:w="1584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Accurate differentiated labels</w:t>
            </w:r>
          </w:p>
        </w:tc>
        <w:tc>
          <w:tcPr>
            <w:tcW w:type="dxa" w:w="1872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Flat; 'nothing'; Long COVID emotional blunting</w:t>
            </w:r>
          </w:p>
        </w:tc>
        <w:tc>
          <w:tcPr>
            <w:tcW w:type="dxa" w:w="1872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Appropriate labels but effortful; 'brain fog makes it hard to find the word'</w:t>
            </w:r>
          </w:p>
        </w:tc>
        <w:tc>
          <w:tcPr>
            <w:tcW w:type="dxa" w:w="864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</w:r>
          </w:p>
        </w:tc>
      </w:tr>
      <w:tr>
        <w:tc>
          <w:tcPr>
            <w:tcW w:type="dxa" w:w="1584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Anhedonia Screen — Brain Fog</w:t>
            </w:r>
          </w:p>
        </w:tc>
        <w:tc>
          <w:tcPr>
            <w:tcW w:type="dxa" w:w="2736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Rate interest in 5 activities 0-10. Note: is low interest from anhedonia or fatigue barrier?</w:t>
            </w:r>
          </w:p>
        </w:tc>
        <w:tc>
          <w:tcPr>
            <w:tcW w:type="dxa" w:w="1584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Average ≥5; motivation present; activity limited by symptoms not interest</w:t>
            </w:r>
          </w:p>
        </w:tc>
        <w:tc>
          <w:tcPr>
            <w:tcW w:type="dxa" w:w="1872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Average ≤2; Long COVID anhedonia; neuroinflammatory limbic HYPO</w:t>
            </w:r>
          </w:p>
        </w:tc>
        <w:tc>
          <w:tcPr>
            <w:tcW w:type="dxa" w:w="1872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High interest but symptoms prevent engagement; preserved motivation with functional barrier</w:t>
            </w:r>
          </w:p>
        </w:tc>
        <w:tc>
          <w:tcPr>
            <w:tcW w:type="dxa" w:w="864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</w:r>
          </w:p>
        </w:tc>
      </w:tr>
      <w:tr>
        <w:tc>
          <w:tcPr>
            <w:tcW w:type="dxa" w:w="1584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Emotional Memory</w:t>
            </w:r>
          </w:p>
        </w:tc>
        <w:tc>
          <w:tcPr>
            <w:tcW w:type="dxa" w:w="2736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10 emotional and 10 neutral words. Recall after 5-min distractor.</w:t>
            </w:r>
          </w:p>
        </w:tc>
        <w:tc>
          <w:tcPr>
            <w:tcW w:type="dxa" w:w="1584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Emotional advantage; ≥7 emotional recalled</w:t>
            </w:r>
          </w:p>
        </w:tc>
        <w:tc>
          <w:tcPr>
            <w:tcW w:type="dxa" w:w="1872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Flat recall; brain fog impairs emotional memory encoding</w:t>
            </w:r>
          </w:p>
        </w:tc>
        <w:tc>
          <w:tcPr>
            <w:tcW w:type="dxa" w:w="1872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Normal emotional advantage but overall recall reduced; Long COVID memory-emotion</w:t>
            </w:r>
          </w:p>
        </w:tc>
        <w:tc>
          <w:tcPr>
            <w:tcW w:type="dxa" w:w="864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</w:r>
          </w:p>
        </w:tc>
      </w:tr>
      <w:tr>
        <w:tc>
          <w:tcPr>
            <w:tcW w:type="dxa" w:w="1584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Fear Response — Health Anxiety</w:t>
            </w:r>
          </w:p>
        </w:tc>
        <w:tc>
          <w:tcPr>
            <w:tcW w:type="dxa" w:w="2736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3 health-related and 2 neutral scenarios. Rate anxiety 0-10.</w:t>
            </w:r>
          </w:p>
        </w:tc>
        <w:tc>
          <w:tcPr>
            <w:tcW w:type="dxa" w:w="1584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Appropriate 2-5 for health scenarios; not catastrophic</w:t>
            </w:r>
          </w:p>
        </w:tc>
        <w:tc>
          <w:tcPr>
            <w:tcW w:type="dxa" w:w="1872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Flat ≤2; health concern denied</w:t>
            </w:r>
          </w:p>
        </w:tc>
        <w:tc>
          <w:tcPr>
            <w:tcW w:type="dxa" w:w="1872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≥8 on health scenarios; catastrophic health anxiety; Long COVID limbic HYPER</w:t>
            </w:r>
          </w:p>
        </w:tc>
        <w:tc>
          <w:tcPr>
            <w:tcW w:type="dxa" w:w="864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</w:r>
          </w:p>
        </w:tc>
      </w:tr>
      <w:tr>
        <w:tc>
          <w:tcPr>
            <w:tcW w:type="dxa" w:w="1584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Affective Flexibility</w:t>
            </w:r>
          </w:p>
        </w:tc>
        <w:tc>
          <w:tcPr>
            <w:tcW w:type="dxa" w:w="2736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Sad then happy memory. Mood shift and recovery.</w:t>
            </w:r>
          </w:p>
        </w:tc>
        <w:tc>
          <w:tcPr>
            <w:tcW w:type="dxa" w:w="1584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Shift ≥3; recovery &lt;3 min</w:t>
            </w:r>
          </w:p>
        </w:tc>
        <w:tc>
          <w:tcPr>
            <w:tcW w:type="dxa" w:w="1872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Flat; no shift; Long COVID emotional blunting</w:t>
            </w:r>
          </w:p>
        </w:tc>
        <w:tc>
          <w:tcPr>
            <w:tcW w:type="dxa" w:w="1872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Stuck in negative mood; brain fog prevents positive affect access; Long COVID depression</w:t>
            </w:r>
          </w:p>
        </w:tc>
        <w:tc>
          <w:tcPr>
            <w:tcW w:type="dxa" w:w="864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</w:r>
          </w:p>
        </w:tc>
      </w:tr>
    </w:tbl>
    <w:p/>
    <w:p>
      <w:pPr>
        <w:shd w:val="clear" w:color="auto" w:fill="7B2D8E"/>
        <w:spacing w:before="80" w:after="120"/>
      </w:pPr>
      <w:r>
        <w:rPr>
          <w:rFonts w:ascii="Calibri" w:hAnsi="Calibri"/>
          <w:b/>
          <w:i w:val="0"/>
          <w:color w:val="FFFFFF"/>
          <w:sz w:val="20"/>
        </w:rPr>
        <w:t xml:space="preserve">🟣 FNON NOTE: </w:t>
      </w:r>
      <w:r>
        <w:rPr>
          <w:rFonts w:ascii="Calibri" w:hAnsi="Calibri"/>
          <w:b w:val="0"/>
          <w:i w:val="0"/>
          <w:color w:val="FFFFFF"/>
          <w:sz w:val="20"/>
        </w:rPr>
        <w:t>Long COVID Relevance: Long COVID creates Limbic HYPERACTIVITY through neuroinflammatory anxiety and depression comorbidity (40-60% prevalence). Amygdala reactivity increases from neuroinflammation. Limbic HYPO (anhedonia, flat affect) emerges in prolonged severe cases.</w:t>
      </w:r>
    </w:p>
    <w:p>
      <w:pPr>
        <w:spacing w:after="160"/>
      </w:pPr>
      <w:r>
        <w:rPr>
          <w:rFonts w:ascii="Calibri" w:hAnsi="Calibri"/>
          <w:b/>
          <w:i w:val="0"/>
          <w:color w:val="1B3A5C"/>
          <w:sz w:val="22"/>
        </w:rPr>
        <w:t>Limbic / Emotional Network Total: _____ / 14</w:t>
      </w:r>
    </w:p>
    <w:p>
      <w:pPr>
        <w:spacing w:before="120" w:after="80"/>
      </w:pPr>
      <w:r>
        <w:rPr>
          <w:rFonts w:ascii="Calibri" w:hAnsi="Calibri"/>
          <w:b/>
          <w:i w:val="0"/>
          <w:color w:val="2E75B6"/>
          <w:sz w:val="24"/>
        </w:rPr>
        <w:t>Attention Networks (DAN/VAN) — Max Score: 16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1B3A5C"/>
          <w:left w:val="single" w:sz="4" w:space="0" w:color="1B3A5C"/>
          <w:bottom w:val="single" w:sz="4" w:space="0" w:color="1B3A5C"/>
          <w:right w:val="single" w:sz="4" w:space="0" w:color="1B3A5C"/>
          <w:insideH w:val="single" w:sz="4" w:space="0" w:color="1B3A5C"/>
          <w:insideV w:val="single" w:sz="4" w:space="0" w:color="1B3A5C"/>
        </w:tblBorders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84"/>
            <w:shd w:val="clear" w:color="auto" w:fill="1B3A5C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Bedside Test</w:t>
            </w:r>
          </w:p>
        </w:tc>
        <w:tc>
          <w:tcPr>
            <w:tcW w:type="dxa" w:w="2736"/>
            <w:shd w:val="clear" w:color="auto" w:fill="1B3A5C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How to Perform</w:t>
            </w:r>
          </w:p>
        </w:tc>
        <w:tc>
          <w:tcPr>
            <w:tcW w:type="dxa" w:w="1584"/>
            <w:shd w:val="clear" w:color="auto" w:fill="1B3A5C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Normal</w:t>
            </w:r>
          </w:p>
        </w:tc>
        <w:tc>
          <w:tcPr>
            <w:tcW w:type="dxa" w:w="1872"/>
            <w:shd w:val="clear" w:color="auto" w:fill="1B3A5C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HYPO (1)</w:t>
            </w:r>
          </w:p>
        </w:tc>
        <w:tc>
          <w:tcPr>
            <w:tcW w:type="dxa" w:w="1872"/>
            <w:shd w:val="clear" w:color="auto" w:fill="1B3A5C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HYPER (2)</w:t>
            </w:r>
          </w:p>
        </w:tc>
        <w:tc>
          <w:tcPr>
            <w:tcW w:type="dxa" w:w="864"/>
            <w:shd w:val="clear" w:color="auto" w:fill="1B3A5C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Score</w:t>
            </w:r>
          </w:p>
        </w:tc>
      </w:tr>
      <w:tr>
        <w:tc>
          <w:tcPr>
            <w:tcW w:type="dxa" w:w="1584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Brain Fog Attention Screen</w:t>
            </w:r>
          </w:p>
        </w:tc>
        <w:tc>
          <w:tcPr>
            <w:tcW w:type="dxa" w:w="2736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Ask: 'How often does your mind go blank mid-task?' Rate 0-10.</w:t>
            </w:r>
          </w:p>
        </w:tc>
        <w:tc>
          <w:tcPr>
            <w:tcW w:type="dxa" w:w="1584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0-3; normal attentional continuity</w:t>
            </w:r>
          </w:p>
        </w:tc>
        <w:tc>
          <w:tcPr>
            <w:tcW w:type="dxa" w:w="1872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0; no brain fog; mild or recovered</w:t>
            </w:r>
          </w:p>
        </w:tc>
        <w:tc>
          <w:tcPr>
            <w:tcW w:type="dxa" w:w="1872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≥7; frequent mid-task blank outs; Long COVID brain fog attention hallmark</w:t>
            </w:r>
          </w:p>
        </w:tc>
        <w:tc>
          <w:tcPr>
            <w:tcW w:type="dxa" w:w="864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</w:r>
          </w:p>
        </w:tc>
      </w:tr>
      <w:tr>
        <w:tc>
          <w:tcPr>
            <w:tcW w:type="dxa" w:w="1584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Selective Attention</w:t>
            </w:r>
          </w:p>
        </w:tc>
        <w:tc>
          <w:tcPr>
            <w:tcW w:type="dxa" w:w="2736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Circle all A's in 20-item letter list. Note effort and errors.</w:t>
            </w:r>
          </w:p>
        </w:tc>
        <w:tc>
          <w:tcPr>
            <w:tcW w:type="dxa" w:w="1584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&lt;60 sec; ≤3 errors</w:t>
            </w:r>
          </w:p>
        </w:tc>
        <w:tc>
          <w:tcPr>
            <w:tcW w:type="dxa" w:w="1872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Slow; multiple omissions; brain fog selective attention failure</w:t>
            </w:r>
          </w:p>
        </w:tc>
        <w:tc>
          <w:tcPr>
            <w:tcW w:type="dxa" w:w="1872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Completes but 60-90 sec; effortful; 'harder than it should be'; Long COVID</w:t>
            </w:r>
          </w:p>
        </w:tc>
        <w:tc>
          <w:tcPr>
            <w:tcW w:type="dxa" w:w="864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</w:r>
          </w:p>
        </w:tc>
      </w:tr>
      <w:tr>
        <w:tc>
          <w:tcPr>
            <w:tcW w:type="dxa" w:w="1584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Divided Attention</w:t>
            </w:r>
          </w:p>
        </w:tc>
        <w:tc>
          <w:tcPr>
            <w:tcW w:type="dxa" w:w="2736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Backward by 2s while naming objects.</w:t>
            </w:r>
          </w:p>
        </w:tc>
        <w:tc>
          <w:tcPr>
            <w:tcW w:type="dxa" w:w="1584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≤2 errors each task</w:t>
            </w:r>
          </w:p>
        </w:tc>
        <w:tc>
          <w:tcPr>
            <w:tcW w:type="dxa" w:w="1872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Abandons one; brain fog attentional resource failure</w:t>
            </w:r>
          </w:p>
        </w:tc>
        <w:tc>
          <w:tcPr>
            <w:tcW w:type="dxa" w:w="1872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Performs both but 4-6 errors each; Long COVID dual-task vulnerability</w:t>
            </w:r>
          </w:p>
        </w:tc>
        <w:tc>
          <w:tcPr>
            <w:tcW w:type="dxa" w:w="864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</w:r>
          </w:p>
        </w:tc>
      </w:tr>
      <w:tr>
        <w:tc>
          <w:tcPr>
            <w:tcW w:type="dxa" w:w="1584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Visual Search</w:t>
            </w:r>
          </w:p>
        </w:tc>
        <w:tc>
          <w:tcPr>
            <w:tcW w:type="dxa" w:w="2736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Find star among 20 distractors.</w:t>
            </w:r>
          </w:p>
        </w:tc>
        <w:tc>
          <w:tcPr>
            <w:tcW w:type="dxa" w:w="1584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&lt;20 sec; systematic</w:t>
            </w:r>
          </w:p>
        </w:tc>
        <w:tc>
          <w:tcPr>
            <w:tcW w:type="dxa" w:w="1872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Fails; brain fog disorganized search</w:t>
            </w:r>
          </w:p>
        </w:tc>
        <w:tc>
          <w:tcPr>
            <w:tcW w:type="dxa" w:w="1872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20-45 sec; systematic but very slow; brain fog processing speed</w:t>
            </w:r>
          </w:p>
        </w:tc>
        <w:tc>
          <w:tcPr>
            <w:tcW w:type="dxa" w:w="864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</w:r>
          </w:p>
        </w:tc>
      </w:tr>
      <w:tr>
        <w:tc>
          <w:tcPr>
            <w:tcW w:type="dxa" w:w="1584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Alerting Response</w:t>
            </w:r>
          </w:p>
        </w:tc>
        <w:tc>
          <w:tcPr>
            <w:tcW w:type="dxa" w:w="2736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'Ready' before stimulus.</w:t>
            </w:r>
          </w:p>
        </w:tc>
        <w:tc>
          <w:tcPr>
            <w:tcW w:type="dxa" w:w="1584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Appropriate alerting; focused readiness</w:t>
            </w:r>
          </w:p>
        </w:tc>
        <w:tc>
          <w:tcPr>
            <w:tcW w:type="dxa" w:w="1872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Blunted; not ready; brain fog alerting HYPO</w:t>
            </w:r>
          </w:p>
        </w:tc>
        <w:tc>
          <w:tcPr>
            <w:tcW w:type="dxa" w:w="1872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Normal alerting but immediately fatigued; Long COVID sustained alerting failure</w:t>
            </w:r>
          </w:p>
        </w:tc>
        <w:tc>
          <w:tcPr>
            <w:tcW w:type="dxa" w:w="864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</w:r>
          </w:p>
        </w:tc>
      </w:tr>
      <w:tr>
        <w:tc>
          <w:tcPr>
            <w:tcW w:type="dxa" w:w="1584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Post-Cognitive-Exertion Symptom Check</w:t>
            </w:r>
          </w:p>
        </w:tc>
        <w:tc>
          <w:tcPr>
            <w:tcW w:type="dxa" w:w="2736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After 10 min of assessment: rate cognitive fatigue, headache, and dizziness 0-10 each.</w:t>
            </w:r>
          </w:p>
        </w:tc>
        <w:tc>
          <w:tcPr>
            <w:tcW w:type="dxa" w:w="1584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All ≤3; no symptom increase with cognitive effort</w:t>
            </w:r>
          </w:p>
        </w:tc>
        <w:tc>
          <w:tcPr>
            <w:tcW w:type="dxa" w:w="1872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No increase; mild or recovered Long COVID</w:t>
            </w:r>
          </w:p>
        </w:tc>
        <w:tc>
          <w:tcPr>
            <w:tcW w:type="dxa" w:w="1872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≥5 on ≥2 measures; cognitive PEM; Long COVID hallmark response to mental exertion</w:t>
            </w:r>
          </w:p>
        </w:tc>
        <w:tc>
          <w:tcPr>
            <w:tcW w:type="dxa" w:w="864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</w:r>
          </w:p>
        </w:tc>
      </w:tr>
      <w:tr>
        <w:tc>
          <w:tcPr>
            <w:tcW w:type="dxa" w:w="1584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Response Inhibition Cancel</w:t>
            </w:r>
          </w:p>
        </w:tc>
        <w:tc>
          <w:tcPr>
            <w:tcW w:type="dxa" w:w="2736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Cancel circles on mixed-shape sheet.</w:t>
            </w:r>
          </w:p>
        </w:tc>
        <w:tc>
          <w:tcPr>
            <w:tcW w:type="dxa" w:w="1584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&lt;60 sec; ≤2 errors</w:t>
            </w:r>
          </w:p>
        </w:tc>
        <w:tc>
          <w:tcPr>
            <w:tcW w:type="dxa" w:w="1872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Slow; brain fog psychomotor slowing</w:t>
            </w:r>
          </w:p>
        </w:tc>
        <w:tc>
          <w:tcPr>
            <w:tcW w:type="dxa" w:w="1872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Normal start; significant slowing by end; fatigue-driven inhibition failure</w:t>
            </w:r>
          </w:p>
        </w:tc>
        <w:tc>
          <w:tcPr>
            <w:tcW w:type="dxa" w:w="864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</w:r>
          </w:p>
        </w:tc>
      </w:tr>
      <w:tr>
        <w:tc>
          <w:tcPr>
            <w:tcW w:type="dxa" w:w="1584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Attentional Fatigue Index</w:t>
            </w:r>
          </w:p>
        </w:tc>
        <w:tc>
          <w:tcPr>
            <w:tcW w:type="dxa" w:w="2736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Letter cancellation 5 min; compare halves.</w:t>
            </w:r>
          </w:p>
        </w:tc>
        <w:tc>
          <w:tcPr>
            <w:tcW w:type="dxa" w:w="1584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Drop &lt;15%</w:t>
            </w:r>
          </w:p>
        </w:tc>
        <w:tc>
          <w:tcPr>
            <w:tcW w:type="dxa" w:w="1872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Drop &gt;50%; extremely rapid brain fog attentional fatigue; Long COVID hallmark</w:t>
            </w:r>
          </w:p>
        </w:tc>
        <w:tc>
          <w:tcPr>
            <w:tcW w:type="dxa" w:w="1872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20-40% drop; moderate; Long COVID attentional fatigue core complaint</w:t>
            </w:r>
          </w:p>
        </w:tc>
        <w:tc>
          <w:tcPr>
            <w:tcW w:type="dxa" w:w="864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</w:r>
          </w:p>
        </w:tc>
      </w:tr>
    </w:tbl>
    <w:p/>
    <w:p>
      <w:pPr>
        <w:shd w:val="clear" w:color="auto" w:fill="7B2D8E"/>
        <w:spacing w:before="80" w:after="120"/>
      </w:pPr>
      <w:r>
        <w:rPr>
          <w:rFonts w:ascii="Calibri" w:hAnsi="Calibri"/>
          <w:b/>
          <w:i w:val="0"/>
          <w:color w:val="FFFFFF"/>
          <w:sz w:val="20"/>
        </w:rPr>
        <w:t xml:space="preserve">🟣 FNON NOTE: </w:t>
      </w:r>
      <w:r>
        <w:rPr>
          <w:rFonts w:ascii="Calibri" w:hAnsi="Calibri"/>
          <w:b w:val="0"/>
          <w:i w:val="0"/>
          <w:color w:val="FFFFFF"/>
          <w:sz w:val="20"/>
        </w:rPr>
        <w:t>Long COVID Relevance: Attention Networks show profound HYPO in Long COVID brain fog: sustained attention failure, processing speed reduction, and divided attention impairment. DAN HYPO reflects prefrontal neuroinflammation; attentional fatigue is the most common and disabling Long COVID cognitive complaint.</w:t>
      </w:r>
    </w:p>
    <w:p>
      <w:pPr>
        <w:spacing w:after="160"/>
      </w:pPr>
      <w:r>
        <w:rPr>
          <w:rFonts w:ascii="Calibri" w:hAnsi="Calibri"/>
          <w:b/>
          <w:i w:val="0"/>
          <w:color w:val="1B3A5C"/>
          <w:sz w:val="22"/>
        </w:rPr>
        <w:t>Attention Networks (DAN/VAN) Total: _____ / 16</w:t>
      </w:r>
    </w:p>
    <w:p>
      <w:pPr>
        <w:spacing w:before="200" w:after="80"/>
      </w:pPr>
      <w:r>
        <w:rPr>
          <w:rFonts w:ascii="Calibri" w:hAnsi="Calibri"/>
          <w:b/>
          <w:i w:val="0"/>
          <w:color w:val="1B3A5C"/>
          <w:sz w:val="28"/>
        </w:rPr>
        <w:t>Network Summary Profile</w:t>
      </w:r>
    </w:p>
    <w:p>
      <w:pPr>
        <w:shd w:val="clear" w:color="auto" w:fill="7B2D8E"/>
        <w:spacing w:before="80" w:after="120"/>
      </w:pPr>
      <w:r>
        <w:rPr>
          <w:rFonts w:ascii="Calibri" w:hAnsi="Calibri"/>
          <w:b/>
          <w:i w:val="0"/>
          <w:color w:val="FFFFFF"/>
          <w:sz w:val="20"/>
        </w:rPr>
        <w:t xml:space="preserve">🟣 FNON NOTE: </w:t>
      </w:r>
      <w:r>
        <w:rPr>
          <w:rFonts w:ascii="Calibri" w:hAnsi="Calibri"/>
          <w:b w:val="0"/>
          <w:i w:val="0"/>
          <w:color w:val="FFFFFF"/>
          <w:sz w:val="20"/>
        </w:rPr>
        <w:t>Map network scores to phenotype for FNON-based montage and protocol selection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1B3A5C"/>
          <w:left w:val="single" w:sz="4" w:space="0" w:color="1B3A5C"/>
          <w:bottom w:val="single" w:sz="4" w:space="0" w:color="1B3A5C"/>
          <w:right w:val="single" w:sz="4" w:space="0" w:color="1B3A5C"/>
          <w:insideH w:val="single" w:sz="4" w:space="0" w:color="1B3A5C"/>
          <w:insideV w:val="single" w:sz="4" w:space="0" w:color="1B3A5C"/>
        </w:tblBorders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  <w:shd w:val="clear" w:color="auto" w:fill="1B3A5C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Network</w:t>
            </w:r>
          </w:p>
        </w:tc>
        <w:tc>
          <w:tcPr>
            <w:tcW w:type="dxa" w:w="1560"/>
            <w:shd w:val="clear" w:color="auto" w:fill="1B3A5C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Max Score</w:t>
            </w:r>
          </w:p>
        </w:tc>
        <w:tc>
          <w:tcPr>
            <w:tcW w:type="dxa" w:w="1560"/>
            <w:shd w:val="clear" w:color="auto" w:fill="1B3A5C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Raw Score</w:t>
            </w:r>
          </w:p>
        </w:tc>
        <w:tc>
          <w:tcPr>
            <w:tcW w:type="dxa" w:w="1560"/>
            <w:shd w:val="clear" w:color="auto" w:fill="1B3A5C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% of Max</w:t>
            </w:r>
          </w:p>
        </w:tc>
        <w:tc>
          <w:tcPr>
            <w:tcW w:type="dxa" w:w="1560"/>
            <w:shd w:val="clear" w:color="auto" w:fill="1B3A5C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Dysfunction Pattern</w:t>
            </w:r>
          </w:p>
        </w:tc>
        <w:tc>
          <w:tcPr>
            <w:tcW w:type="dxa" w:w="1560"/>
            <w:shd w:val="clear" w:color="auto" w:fill="1B3A5C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Priority</w:t>
            </w:r>
          </w:p>
        </w:tc>
      </w:tr>
      <w:tr>
        <w:tc>
          <w:tcPr>
            <w:tcW w:type="dxa" w:w="1560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Default Mode Network (DMN)</w:t>
            </w:r>
          </w:p>
        </w:tc>
        <w:tc>
          <w:tcPr>
            <w:tcW w:type="dxa" w:w="1560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14</w:t>
            </w:r>
          </w:p>
        </w:tc>
        <w:tc>
          <w:tcPr>
            <w:tcW w:type="dxa" w:w="1560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</w:r>
          </w:p>
        </w:tc>
        <w:tc>
          <w:tcPr>
            <w:tcW w:type="dxa" w:w="1560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</w:r>
          </w:p>
        </w:tc>
        <w:tc>
          <w:tcPr>
            <w:tcW w:type="dxa" w:w="1560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</w:r>
          </w:p>
        </w:tc>
        <w:tc>
          <w:tcPr>
            <w:tcW w:type="dxa" w:w="1560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</w:r>
          </w:p>
        </w:tc>
      </w:tr>
      <w:tr>
        <w:tc>
          <w:tcPr>
            <w:tcW w:type="dxa" w:w="1560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Central Executive Network (CEN/FPN)</w:t>
            </w:r>
          </w:p>
        </w:tc>
        <w:tc>
          <w:tcPr>
            <w:tcW w:type="dxa" w:w="1560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14</w:t>
            </w:r>
          </w:p>
        </w:tc>
        <w:tc>
          <w:tcPr>
            <w:tcW w:type="dxa" w:w="1560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</w:r>
          </w:p>
        </w:tc>
        <w:tc>
          <w:tcPr>
            <w:tcW w:type="dxa" w:w="1560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</w:r>
          </w:p>
        </w:tc>
        <w:tc>
          <w:tcPr>
            <w:tcW w:type="dxa" w:w="1560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</w:r>
          </w:p>
        </w:tc>
        <w:tc>
          <w:tcPr>
            <w:tcW w:type="dxa" w:w="1560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</w:r>
          </w:p>
        </w:tc>
      </w:tr>
      <w:tr>
        <w:tc>
          <w:tcPr>
            <w:tcW w:type="dxa" w:w="1560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Salience Network (SN)</w:t>
            </w:r>
          </w:p>
        </w:tc>
        <w:tc>
          <w:tcPr>
            <w:tcW w:type="dxa" w:w="1560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14</w:t>
            </w:r>
          </w:p>
        </w:tc>
        <w:tc>
          <w:tcPr>
            <w:tcW w:type="dxa" w:w="1560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</w:r>
          </w:p>
        </w:tc>
        <w:tc>
          <w:tcPr>
            <w:tcW w:type="dxa" w:w="1560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</w:r>
          </w:p>
        </w:tc>
        <w:tc>
          <w:tcPr>
            <w:tcW w:type="dxa" w:w="1560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</w:r>
          </w:p>
        </w:tc>
        <w:tc>
          <w:tcPr>
            <w:tcW w:type="dxa" w:w="1560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</w:r>
          </w:p>
        </w:tc>
      </w:tr>
      <w:tr>
        <w:tc>
          <w:tcPr>
            <w:tcW w:type="dxa" w:w="1560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Sensorimotor Network (SMN)</w:t>
            </w:r>
          </w:p>
        </w:tc>
        <w:tc>
          <w:tcPr>
            <w:tcW w:type="dxa" w:w="1560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16</w:t>
            </w:r>
          </w:p>
        </w:tc>
        <w:tc>
          <w:tcPr>
            <w:tcW w:type="dxa" w:w="1560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</w:r>
          </w:p>
        </w:tc>
        <w:tc>
          <w:tcPr>
            <w:tcW w:type="dxa" w:w="1560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</w:r>
          </w:p>
        </w:tc>
        <w:tc>
          <w:tcPr>
            <w:tcW w:type="dxa" w:w="1560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</w:r>
          </w:p>
        </w:tc>
        <w:tc>
          <w:tcPr>
            <w:tcW w:type="dxa" w:w="1560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</w:r>
          </w:p>
        </w:tc>
      </w:tr>
      <w:tr>
        <w:tc>
          <w:tcPr>
            <w:tcW w:type="dxa" w:w="1560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Limbic / Emotional Network</w:t>
            </w:r>
          </w:p>
        </w:tc>
        <w:tc>
          <w:tcPr>
            <w:tcW w:type="dxa" w:w="1560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14</w:t>
            </w:r>
          </w:p>
        </w:tc>
        <w:tc>
          <w:tcPr>
            <w:tcW w:type="dxa" w:w="1560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</w:r>
          </w:p>
        </w:tc>
        <w:tc>
          <w:tcPr>
            <w:tcW w:type="dxa" w:w="1560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</w:r>
          </w:p>
        </w:tc>
        <w:tc>
          <w:tcPr>
            <w:tcW w:type="dxa" w:w="1560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</w:r>
          </w:p>
        </w:tc>
        <w:tc>
          <w:tcPr>
            <w:tcW w:type="dxa" w:w="1560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</w:r>
          </w:p>
        </w:tc>
      </w:tr>
      <w:tr>
        <w:tc>
          <w:tcPr>
            <w:tcW w:type="dxa" w:w="1560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Attention Networks (DAN/VAN)</w:t>
            </w:r>
          </w:p>
        </w:tc>
        <w:tc>
          <w:tcPr>
            <w:tcW w:type="dxa" w:w="1560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16</w:t>
            </w:r>
          </w:p>
        </w:tc>
        <w:tc>
          <w:tcPr>
            <w:tcW w:type="dxa" w:w="1560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</w:r>
          </w:p>
        </w:tc>
        <w:tc>
          <w:tcPr>
            <w:tcW w:type="dxa" w:w="1560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</w:r>
          </w:p>
        </w:tc>
        <w:tc>
          <w:tcPr>
            <w:tcW w:type="dxa" w:w="1560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</w:r>
          </w:p>
        </w:tc>
        <w:tc>
          <w:tcPr>
            <w:tcW w:type="dxa" w:w="1560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</w:r>
          </w:p>
        </w:tc>
      </w:tr>
      <w:tr>
        <w:tc>
          <w:tcPr>
            <w:tcW w:type="dxa" w:w="1560"/>
            <w:shd w:val="clear" w:color="auto" w:fill="E8D5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18"/>
              </w:rPr>
              <w:t>GRAND TOTAL</w:t>
            </w:r>
          </w:p>
        </w:tc>
        <w:tc>
          <w:tcPr>
            <w:tcW w:type="dxa" w:w="1560"/>
            <w:shd w:val="clear" w:color="auto" w:fill="E8D5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18"/>
              </w:rPr>
              <w:t>88</w:t>
            </w:r>
          </w:p>
        </w:tc>
        <w:tc>
          <w:tcPr>
            <w:tcW w:type="dxa" w:w="1560"/>
            <w:shd w:val="clear" w:color="auto" w:fill="E8D5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18"/>
              </w:rPr>
            </w:r>
          </w:p>
        </w:tc>
        <w:tc>
          <w:tcPr>
            <w:tcW w:type="dxa" w:w="1560"/>
            <w:shd w:val="clear" w:color="auto" w:fill="E8D5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18"/>
              </w:rPr>
            </w:r>
          </w:p>
        </w:tc>
        <w:tc>
          <w:tcPr>
            <w:tcW w:type="dxa" w:w="1560"/>
            <w:shd w:val="clear" w:color="auto" w:fill="E8D5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18"/>
              </w:rPr>
            </w:r>
          </w:p>
        </w:tc>
        <w:tc>
          <w:tcPr>
            <w:tcW w:type="dxa" w:w="1560"/>
            <w:shd w:val="clear" w:color="auto" w:fill="E8D5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18"/>
              </w:rPr>
            </w:r>
          </w:p>
        </w:tc>
      </w:tr>
    </w:tbl>
    <w:p/>
    <w:p>
      <w:r>
        <w:rPr>
          <w:rFonts w:ascii="Calibri" w:hAnsi="Calibri"/>
          <w:b/>
          <w:i w:val="0"/>
          <w:color w:val="1B3A5C"/>
          <w:sz w:val="22"/>
        </w:rPr>
        <w:t xml:space="preserve">Dominant Network Dysfunction: </w:t>
      </w:r>
      <w:r>
        <w:rPr>
          <w:rFonts w:ascii="Calibri" w:hAnsi="Calibri"/>
          <w:b w:val="0"/>
          <w:i w:val="0"/>
          <w:sz w:val="22"/>
        </w:rPr>
        <w:t>_______________________________   Score: _____ / _____</w:t>
      </w:r>
    </w:p>
    <w:p/>
    <w:p>
      <w:r>
        <w:rPr>
          <w:rFonts w:ascii="Calibri" w:hAnsi="Calibri"/>
          <w:b/>
          <w:i w:val="0"/>
          <w:color w:val="1B3A5C"/>
          <w:sz w:val="22"/>
        </w:rPr>
        <w:t xml:space="preserve">Secondary Network: </w:t>
      </w:r>
      <w:r>
        <w:rPr>
          <w:rFonts w:ascii="Calibri" w:hAnsi="Calibri"/>
          <w:b w:val="0"/>
          <w:i w:val="0"/>
          <w:sz w:val="22"/>
        </w:rPr>
        <w:t>_______________________________   Tertiary: _______________________________</w:t>
      </w:r>
    </w:p>
    <w:p/>
    <w:p>
      <w:pPr>
        <w:spacing w:before="200" w:after="80"/>
      </w:pPr>
      <w:r>
        <w:rPr>
          <w:rFonts w:ascii="Calibri" w:hAnsi="Calibri"/>
          <w:b/>
          <w:i w:val="0"/>
          <w:color w:val="1B3A5C"/>
          <w:sz w:val="28"/>
        </w:rPr>
        <w:t>Phenotype Assignment</w:t>
      </w:r>
    </w:p>
    <w:p>
      <w:r>
        <w:rPr>
          <w:rFonts w:ascii="Calibri" w:hAnsi="Calibri"/>
          <w:b w:val="0"/>
          <w:i w:val="0"/>
          <w:sz w:val="22"/>
        </w:rPr>
        <w:t>Long COVID phenotypes: (1) BRAIN FOG — CEN HYPO + Attention HYPO + DMN HYPO (cognitive predominant); (2) AUTONOMIC — SN HYPER/dysregulated (dysautonomia/POTS); (3) FATIGUE-MOTOR — SMN HYPO + post-exertional malaise; (4) AFFECTIVE — Limbic HYPER (anxiety/depression). Map to dominant symptom cluster for FNON selection.</w:t>
      </w:r>
    </w:p>
    <w:p/>
    <w:p>
      <w:r>
        <w:rPr>
          <w:rFonts w:ascii="Calibri" w:hAnsi="Calibri"/>
          <w:b/>
          <w:i w:val="0"/>
          <w:color w:val="1B3A5C"/>
          <w:sz w:val="22"/>
        </w:rPr>
        <w:t xml:space="preserve">Assigned Phenotype: </w:t>
      </w:r>
      <w:r>
        <w:rPr>
          <w:rFonts w:ascii="Calibri" w:hAnsi="Calibri"/>
          <w:b w:val="0"/>
          <w:i w:val="0"/>
          <w:sz w:val="22"/>
        </w:rPr>
        <w:t>________________________________________</w:t>
      </w:r>
    </w:p>
    <w:p/>
    <w:p>
      <w:r>
        <w:rPr>
          <w:rFonts w:ascii="Calibri" w:hAnsi="Calibri"/>
          <w:b/>
          <w:i w:val="0"/>
          <w:color w:val="7B2D8E"/>
          <w:sz w:val="22"/>
        </w:rPr>
        <w:t xml:space="preserve">FNON Strategy: </w:t>
      </w:r>
      <w:r>
        <w:rPr>
          <w:rFonts w:ascii="Calibri" w:hAnsi="Calibri"/>
          <w:b w:val="0"/>
          <w:i w:val="0"/>
          <w:sz w:val="22"/>
        </w:rPr>
        <w:t>Primary: Facilitate CEN (left DLPFC anodal) for brain fog and executive dysfunction. Address SN dysregulation (cathodal right prefrontal or insula). Avoid over-stimulation triggering PEM — start with low-intensity, short sessions. Pace cognitive rehabilitation to avoid post-exertional worsening.</w:t>
      </w:r>
    </w:p>
    <w:p/>
    <w:p>
      <w:pPr>
        <w:spacing w:before="200" w:after="80"/>
      </w:pPr>
      <w:r>
        <w:rPr>
          <w:rFonts w:ascii="Calibri" w:hAnsi="Calibri"/>
          <w:b/>
          <w:i w:val="0"/>
          <w:color w:val="1B3A5C"/>
          <w:sz w:val="28"/>
        </w:rPr>
        <w:t>Medication &amp; Clinical Notes</w:t>
      </w:r>
    </w:p>
    <w:p>
      <w:pPr>
        <w:shd w:val="clear" w:color="auto" w:fill="CC0000"/>
        <w:spacing w:before="80" w:after="120"/>
      </w:pPr>
      <w:r>
        <w:rPr>
          <w:rFonts w:ascii="Calibri" w:hAnsi="Calibri"/>
          <w:b/>
          <w:i w:val="0"/>
          <w:color w:val="FFFFFF"/>
          <w:sz w:val="20"/>
        </w:rPr>
        <w:t xml:space="preserve">⚠ CRITICAL: </w:t>
      </w:r>
      <w:r>
        <w:rPr>
          <w:rFonts w:ascii="Calibri" w:hAnsi="Calibri"/>
          <w:b w:val="0"/>
          <w:i w:val="0"/>
          <w:color w:val="FFFFFF"/>
          <w:sz w:val="20"/>
        </w:rPr>
        <w:t>CRITICAL: Record medication state at each assessment. Results may differ significantly ON vs OFF medication.</w:t>
      </w:r>
    </w:p>
    <w:p>
      <w:r>
        <w:rPr>
          <w:rFonts w:ascii="Calibri" w:hAnsi="Calibri"/>
          <w:b/>
          <w:i w:val="0"/>
          <w:color w:val="1B3A5C"/>
          <w:sz w:val="22"/>
        </w:rPr>
        <w:t xml:space="preserve">Medication State at Assessment: </w:t>
      </w:r>
      <w:r>
        <w:rPr>
          <w:rFonts w:ascii="Calibri" w:hAnsi="Calibri"/>
          <w:b w:val="0"/>
          <w:i w:val="0"/>
          <w:sz w:val="22"/>
        </w:rPr>
        <w:t>□ ON Medication    □ OFF Medication    □ Medication Wash-out    □ Unmedicated</w:t>
      </w:r>
    </w:p>
    <w:p/>
    <w:p>
      <w:r>
        <w:rPr>
          <w:rFonts w:ascii="Calibri" w:hAnsi="Calibri"/>
          <w:b/>
          <w:i w:val="0"/>
          <w:color w:val="1B3A5C"/>
          <w:sz w:val="20"/>
        </w:rPr>
        <w:t xml:space="preserve">Medication Name/Dose/Timing: </w:t>
      </w:r>
      <w:r>
        <w:rPr>
          <w:rFonts w:ascii="Calibri" w:hAnsi="Calibri"/>
          <w:b w:val="0"/>
          <w:i w:val="0"/>
          <w:sz w:val="20"/>
        </w:rPr>
        <w:t>__________________________________________________</w:t>
      </w:r>
    </w:p>
    <w:p>
      <w:r>
        <w:rPr>
          <w:rFonts w:ascii="Calibri" w:hAnsi="Calibri"/>
          <w:b/>
          <w:i w:val="0"/>
          <w:color w:val="1B3A5C"/>
          <w:sz w:val="20"/>
        </w:rPr>
        <w:t xml:space="preserve">Time Since Last Dose: </w:t>
      </w:r>
      <w:r>
        <w:rPr>
          <w:rFonts w:ascii="Calibri" w:hAnsi="Calibri"/>
          <w:b w:val="0"/>
          <w:i w:val="0"/>
          <w:sz w:val="20"/>
        </w:rPr>
        <w:t>__________________________________________________</w:t>
      </w:r>
    </w:p>
    <w:p>
      <w:r>
        <w:rPr>
          <w:rFonts w:ascii="Calibri" w:hAnsi="Calibri"/>
          <w:b/>
          <w:i w:val="0"/>
          <w:color w:val="1B3A5C"/>
          <w:sz w:val="20"/>
        </w:rPr>
        <w:t xml:space="preserve">Clinical Observations: </w:t>
      </w:r>
      <w:r>
        <w:rPr>
          <w:rFonts w:ascii="Calibri" w:hAnsi="Calibri"/>
          <w:b w:val="0"/>
          <w:i w:val="0"/>
          <w:sz w:val="20"/>
        </w:rPr>
        <w:t>__________________________________________________</w:t>
      </w:r>
    </w:p>
    <w:p>
      <w:r>
        <w:rPr>
          <w:rFonts w:ascii="Calibri" w:hAnsi="Calibri"/>
          <w:b/>
          <w:i w:val="0"/>
          <w:color w:val="1B3A5C"/>
          <w:sz w:val="20"/>
        </w:rPr>
        <w:t xml:space="preserve">Network Interpretation Notes: </w:t>
      </w:r>
      <w:r>
        <w:rPr>
          <w:rFonts w:ascii="Calibri" w:hAnsi="Calibri"/>
          <w:b w:val="0"/>
          <w:i w:val="0"/>
          <w:sz w:val="20"/>
        </w:rPr>
        <w:t>__________________________________________________</w:t>
      </w:r>
    </w:p>
    <w:p>
      <w:r>
        <w:rPr>
          <w:rFonts w:ascii="Calibri" w:hAnsi="Calibri"/>
          <w:b/>
          <w:i w:val="0"/>
          <w:color w:val="1B3A5C"/>
          <w:sz w:val="20"/>
        </w:rPr>
        <w:t xml:space="preserve">Next Assessment Date: </w:t>
      </w:r>
      <w:r>
        <w:rPr>
          <w:rFonts w:ascii="Calibri" w:hAnsi="Calibri"/>
          <w:b w:val="0"/>
          <w:i w:val="0"/>
          <w:sz w:val="20"/>
        </w:rPr>
        <w:t>__________________________________________________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