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LONG COVID (POST-ACUTE SEQUELAE OF SARS-COV-2)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Long COVID Relevance: </w:t>
      </w:r>
      <w:r>
        <w:rPr>
          <w:sz w:val="20"/>
        </w:rPr>
        <w:t>HYPO. Brain fog is characterised by mPFC-PCC disconnection and impaired default mode processing. Concentration lapses, word-finding difficulties, and loss of identity/motivation reflect chronic DMN hypoperfusion and neuroinflammatory disruption.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self-referential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1=Reduced/effortful, 2=Word-finding failures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(pre/post COVID)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1=Post-COVID gap, 2=Significant impairment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/ concentration lapses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1=Occasional, 2=Constant brain fog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and identity loss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2=Profound identity/motivation loss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cognitive change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1=Limited,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/ planning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2=Cannot plan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Cognitive fluctuations (good/bad days)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0=Consistent, 1=Variable, 2=Severe variability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Long COVID Relevance: </w:t>
      </w:r>
      <w:r>
        <w:rPr>
          <w:sz w:val="20"/>
        </w:rPr>
        <w:t>HYPO. Executive function impairment, reduced working memory, and cognitive fatigue reflect DLPFC hypometabolism and neuroinflammatory CEN disruption. SDMT and processing speed tasks are most sensitive to Long COVID CEN impairment.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processing speed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Clock drawing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Long COVID Relevance: </w:t>
      </w:r>
      <w:r>
        <w:rPr>
          <w:sz w:val="20"/>
        </w:rPr>
        <w:t>Dysregulated. Autonomic dysregulation (POTS, orthostatic intolerance) is a primary Long COVID manifestation reflecting SN-ANS axis dysfunction. Post-exertional malaise (PEM) may involve SN hyperexcitability to metabolic signals.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Interoceptive awareness (dysautonomia)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1=Absent, 2=Excessive/distressing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reactivity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1=Flat/blunted, 2=Labile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Task switching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2=Cognitively exhausting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POTS screen (symptom report)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 orthostatic sx, 2=Severe POTS symptoms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(HR standing, sweating)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2=Hyper/tachycardia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Long COVID Relevance: </w:t>
      </w:r>
      <w:r>
        <w:rPr>
          <w:sz w:val="20"/>
        </w:rPr>
        <w:t>HYPO-fatigued. Exercise intolerance, fatigue-related motor decline, reduced grip strength, and post-exertional motor deterioration reflect SMN vulnerability to energy depletion. Gait endurance is limited by PEM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Exercise tolerance (1-min STS test)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2=Unable due to PEM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Gait endurance (6MWT estimate)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0=&gt;400m, 1=200-400m, 2=&lt;200m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Fine motor speed (tapping)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2=Severely slowed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Coordination (finger-to-nose)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impairment, 2=Dysmetria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Grip strength (dynamometer)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2=Severely reduced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Postural orthostatic stability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unsteady standing, 2=Cannot stand &gt;1 min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Balance (Romberg)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sway, 2=Falls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Post-exertional motor decline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2=Severe PEM crash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Long COVID Relevance: </w:t>
      </w:r>
      <w:r>
        <w:rPr>
          <w:sz w:val="20"/>
        </w:rPr>
        <w:t>Dysregulated. Mood disturbance (depression, anxiety), emotional lability, and loss of motivation are highly prevalent in Long COVID. Neuroinflammatory effects on limbic circuits and HPA axis dysregulation drive these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(depression/flat)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1=Low/flat, 2=Severely depressed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anhedonia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2=Complete loss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 (PEM trigger)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2=PEM crash after stress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2=Severely 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Long COVID Relevance: </w:t>
      </w:r>
      <w:r>
        <w:rPr>
          <w:sz w:val="20"/>
        </w:rPr>
        <w:t>HYPO. Sustained attention impairment and inability to maintain concentration are core brain fog symptoms. DAN disruption reflects reduced cortical activation capacity. Fatigue-related attention failures worsen with exertion.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(brain fog)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2=Cannot sustain &gt;5 min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/ scanning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complete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Reorienting after distraction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refocus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(fatigue-related)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2=Severely fatigued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Long COVID-Specific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Anodal mPFC tDCS for brain fog / motivation restoration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processing speed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for ANS normalisation / POTS management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Gentle anodal M1 tDCS for fatigue-related motor decline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mood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/ TPS FT5 for sustained attention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Cognitive fog dominant  ☐ Fatigue/PEM dominant  ☐ Dysautonomia  ☐ Neuropsychiatric  ☐ Headache/pain  ☐ Multi-system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