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LONG COVID / POST-COVID SYNDROME</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Long COVID / Post-COVID Syndrome (LC).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Long COVID / Post-COVID Syndrome (LC)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LC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LC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Evidence Level</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Case series</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 — INVESTIGATIONAL OFF-LABEL</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 (epilepsy/depression)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Pilot</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 (anxiety/insomnia/depression)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Open-label, Observational</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Long COVID / Post-COVID Syndrome is INVESTIGATIONAL at SOZO Brain Center. It is not CE-marked or FDA-approved for LC.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LC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Long COVID / Post-COVID Syndrome (LC).</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LC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Long COVID treatment.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Long COVID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emerging evidence for cognitive rehabilitation in LC</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 primary vagal/autonomic modulation for LC</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Off-label supportive — anxiety, mood, and fatigue components</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LC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fog (cognitive cloudiness)</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Fatigue (physical and mental)</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Post-exertional malaise (worsening after activity)</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Memory difficulties (working / episodic)</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Concentration and sustained attention</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Word-finding difficulties</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Processing speed (mental sluggishness)</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Headache / head pressure</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Depression / low mood</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Anxiety</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quality</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Heart rate variability / palpitations</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Breathlessness at rest or with minimal exertion</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Muscle aches and pain</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Dizziness / orthostatic intolerance</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and occupational function</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Cognitive Fog, Fatigue-Dominant, Dysautonomia, Neuropsychiatric, Headache/Pain, Exercise Intolerance, Sleep-Dominant, Anosmia/Ageusia, or Multi-System.</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LC: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Fog</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 hypofunction (processing speed, working memory), DMN-CEN decoupling</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Global network energy deficit, SN sensitisation, reduced thalamo-cortical modulation</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Dysautonomia</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dysregulation (autonomic instability), reduced vagal tone, LIMBIC amplification</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Neuropsychiatric</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LIMBIC hyperactivation (depression/anxiety), SN threat amplification, DMN rumination</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Headache / Pain</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sensitisation (central sensitisation), DMN pain processing, descending inhibition failure</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Exercise Intolerance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SMN deconditioning, SN post-exertional amplification, autonomic network disruption</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Sleep-Dominant</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 hyperarousal (insomnia-type), LIMBIC dysregulation, circadian network disruption</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Multi-System</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Widespread network dysfunction; prioritise most disabling symptom cluster for initial FNON targeting</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(LC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current medications (symptom-targeted agents, anticoagulants, antidepressants) — dose, timing, and adherence; note any recent symptom crashes</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(Long COVID symptom-targeted medications, timing of last dose, any post-exertional malaise since last session)</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rehabilitation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Graded computerised cognitive training (n-back, processing speed tasks) — low-intensity, paced</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Cz/Fz</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 and attention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Mindfulness-based attention task, gentle breathing regulation, body scan</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Pz cathode</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Memory / word-finding</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Verbal fluency tasks, word association, structured recall exercises</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Fpz / F3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Arousal modulation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Relaxation response training, heart rate variability biofeedback (with taVNS)</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 + taVNS (no tDCS)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Autonomic stabilisation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Slow breathing (5 breaths/min), parasympathetic activation protocol</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 Brain Fog</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improvement in cognitive PRS items + objective cognitive screen (MoCA or equivalent)</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Reduction in fatigue severity score (PRS) and improved post-exertional tolerance (patient-reported)</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Autonomic / Dysautonomia</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Improved heart rate variability, reduced POTS severity, reduced dizziness frequency</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Mood / Function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PHQ-9 / GAD-7 equivalent and return to occupational / social participation</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Long COVID symptoms fluctuate significantly. Standardise assessment conditions between baseline and follow-up, including time of day, exertion level in the 48 hours prior, and medication adherence. Post-exertional malaise episodes in the preceding week must be documented and factored into SOZO PRS interpretation.</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Long COVID / Post-COVID Syndrome (WHO 2021 definition; symptoms ≥12 weeks post-infection)</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Cognitive or fatigue symptoms causing functional impairment</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18+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cognitive outcome measures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cardiac dysrhythmia or active cardiopulmonary instability</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Unstable autonomic dysfunction with severe POTS or syncope</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psychosis or severe psychiatric instability</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Severe post-exertional malaise with inability to tolerate minimal stimulation</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LC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Fog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(2 mA, 20 min) + TPS frontal + temporal + taVNS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Fatigue-Dominant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Cz anode / Fpz cathode + TPS cranial + taVNS primary + CES daily (pre-session)</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Dysautonomia</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 primary (vagal regulation, 2–4 h/day) + CES daily + tDCS F3/F4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Neuropsychiatric</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 anode / F4 cathode (L-DLPFC up) + TPS frontal + taVNS + CES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Headache / Pain</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M1 (C3/C4 anode) + TPS cranial + peripheral cervical + taVNS + CES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Exercise Intolerance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Cz/F3 graded protocol + TPS cranial + taVNS primary + CES supportive; strict session pacing</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Sleep-Dominant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Fpz / F3 cathode (frontal inhibition) + TPS frontal + taVNS (pre-sleep) + CES primary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Multi-System</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FNON alternating strategy: alternate cognitive and autonomic blocks per week; reassess at 4 weeks</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