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MULTIPLE SCLEROSIS (MS)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Disrupted by white matter lesion load. DMN hub disconnection causes processing speed reduction and cognitive fatigue episodes. Lesions in PCC/precuneus white matter tracts impair autobiographical and self-referential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1=Reduced/slowed, 2=Disorganised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1=Slowed retrieval, 2=Impaired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cognitive fatigue episodes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2=Frequent lapses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Daydreaming / visual phenomena (Uhthoff)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1=Heat-induced blurring, 2=Visual loss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cognitive change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anosognosia,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planning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Cognitive fluctuations (good/bad days)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0=Consistent, 1=Variable, 2=Severe variability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HYPO. Periventricular and frontal white matter lesions disconnect DLPFC from PPC, causing the hallmark MS cognitive syndrome: reduced processing speed, working memory impairment, and cognitive fatigue.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processing speed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 (COWAT)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Clock drawing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/ cognitive flexibility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Disrupted. Fatigue-related network switching failure reflects impaired SN function. MS fatigue is partly a SN phenomenon: the network cannot efficiently switch between DMN and task-positive networks under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sensitivity (neuropathic)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2=Hyper/allodynia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2=Distorted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1=Flat, 2=Labile/PLC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under fatigue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1=Slowed, 2=Cannot switch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PRIMARY NETWORK IN MS. Lesions anywhere along the corticospinal tract produce motor symptoms. Cerebellar lesions produce ataxia; spinal cord lesions produce spasticity. SMN impairment varies by lesion 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Upper limb weakness (MRC grade)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0=5/5 Normal, 1=3-4/5, 2=0-2/5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Lower limb spasticity (Ashworth)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 MAS 1-2, 2=Severe MAS 3-4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Coordination (finger-to-nose)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dysmetria, 2=Severe ataxia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pattern (ataxic/spastic)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1=Spastic/ataxic, 2=Requires aid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Balance (tandem/Romberg)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perform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Fine motor 9HPT (dominant hand)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0=&lt;50s, 1=50-70s, 2=&gt;70s/Unable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Babinski sign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0=Absent, 1=Equivocal, 2=Present bilateral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Tremor (cerebellar intention)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1=Mild, 2=Severe/disabling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Dysregulated. MS depression (50% lifetime prevalence) is the most common psychiatric comorbidity. Emotional lability, pathological laughing/crying, and apathy reflect limbic network demyelination or disconnection.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(depression/lability)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1=Low/flat, 2=Depressed/PLC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(fatigue-related apathy)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2=Hyperactive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2=PLC/severe dysregulation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MS Relevance: </w:t>
      </w:r>
      <w:r>
        <w:rPr>
          <w:sz w:val="20"/>
        </w:rPr>
        <w:t>HYPO. Symbol Digit Modalities Test (SDMT) impairment is the most sensitive marker of MS cognitive change. DAN disruption produces processing speed decline; divided attention is particularly vulnerable to lesion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SDMT-equivalent (processing speed)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 &gt;44, 1=Reduced 30-44, 2=&lt;30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Sustained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Visual search / scanning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complete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(fatigue-related)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2=Severely fatigued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MS-Specific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PCC tDCS for fatigue-related DMN dysregulation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processing speed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fatigue and network switching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M1/SMA tDCS / TPS FT1 for motor function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MS depression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/ TPS FT5 for processing speed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RRMS  ☐ SPMS  ☐ PPMS  ☐ Fatigue-predominant  ☐ Cognitive-predominant  ☐ Motor/spastic  ☐ Cerebellar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