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MULTIPLE SCLEROSIS</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Multiple Sclerosis (MS).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Multiple Sclerosis (MS)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MS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MS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Evidence Level</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RCT, Open-label</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 — INVESTIGATIONAL OFF-LABEL</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 (epilepsy/depression)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Open-label, Pilot</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 (anxiety/insomnia/depression)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Open-label, Pilot</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Off-Label Disclosure: TPS (NEUROLITH®) use in Multiple Sclerosis is INVESTIGATIONAL at SOZO Brain Center. It is not CE-marked or FDA-approved for MS. All patients must provide written informed consent inclusive of the off-label TPS disclosure.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MS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Multiple Sclerosis (MS).</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MS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This includes the off-label disclosure for all investigational modalities used in MS treatment.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MS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Established NIBS; Level B evidence for fatigue reduction and motor rehabilitation in MS</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OFF-LABEL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Mandatory off-label; Doctor sign-off</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adjunctive — neuroinflammation, fatigue, and autonomic modulation in MS</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Off-label supportive — MS fatigue, depression, and sleep comorbidity</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MS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Fatigue (MS fatigue — distinct from sleepiness)</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Walking ability (distance, speed, and safety)</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Hand and arm coordination</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Balance (standing and moving balance)</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Visual clarity (blurring, double vision)</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Spasticity (muscle stiffness and spasms)</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Bladder / bowel function</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Sensory symptoms (numbness, tingling, pain)</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Cognitive fog (MS-related cognitive slowing)</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Depression / low mood</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quality</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Pain (neuropathic and musculoskeletal)</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Heat sensitivity (Uhthoff phenomenon)</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Social and relational function</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Work and occupational capacity</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Independence in daily activities</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Motor/Spasticity, Fatigue-Dominant, Cognitive, Ataxia-Dominant, Pain-Dominant, Bladder/Autonomic, Depression-Dominant, Visual, or Walking-Impaired.</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Motor / Spasticity</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SMN disruption (demyelination of corticospinal tract); upper motor neuron syndrome; CEN-SMN disconnection</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Thalamo-cortical fatigue network; widespread network inefficiency; CEN-DMN energy dysregulation</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 fragmentation (periventricular lesion burden); processing speed reduction; DMN-CEN decoupling</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Ataxia-Dominant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Cerebellar-SMN pathway disruption; coordination and balance network impairment; ATTENTION involvement</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Pain-Dominant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sensitisation (central sensitisation) + SMN sensory pathway disruption; neuropathic pain network</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Bladder / Autonomic</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SMN-autonomic network disruption; pontine micturition centre disconnection; SN sensitisation</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Depression-Dominant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LIMBIC hyperactivation + CEN hypofunction; MS-specific depression network; adjustment and organic components</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Walking-Impaired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SMN lower limb pathway disruption + cerebellar-SMA network; fatigue-motor interaction; ATTENTION burden during gait</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(MS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disease-modifying therapy (name, regimen, last dose); note any recent relapse, Uhthoff worsening, or heat exposure before session</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(DMT regimen and adherence, timing of symptom-management medications, current fatigue and heat sensitivity rating)</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Contralateral M1 (C3/C4 anode)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Motor / spasticity</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Graded physiotherapy — repetitive task training, resistance exercises, Frenkel coordination exercises</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F3/F4 bilateral 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 and cognition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Graded cognitive training (low-intensity, energy-managed), working memory tasks, paced activity scheduling</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Cz / SMA anode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Gait and balance</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Treadmill walking (slow, supported), balance board, physiotherapy-guided stepping</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F4 cathode (L-DLPFC)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Depression / mood</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Behavioural activation, pleasant activity scheduling, structured social engagement</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taVNS + CES combined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 and neuroinflammation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Rest-based relaxation, slow breathing, energy conservation strategies — no active task</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reduction in MS fatigue (MFIS ≥4 point reduction + PRS fatigue item improvement)</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Motor / Walking</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Improvement in 10m walk test, TUG, or grip strength + PRS motor items; improved EDSS stability or improvement</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Improvement in SDMT or MoCA + PRS cognitive items; improved processing speed and working memory</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Mood / Function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Better depression and mood scores (PHQ-9 equivalent) + improved independence and quality of life (PRS secondary)</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MS symptoms are profoundly heat-sensitive (Uhthoff phenomenon) and fluctuate with fatigue, infection, and relapse. Standardise assessment conditions — same ambient temperature, same fatigue level, same time relative to DMT dosing. Any relapse event within 6 weeks of assessment must be documented and baseline reset. Do not attribute PRS changes to NIBS if a relapse or pseudo-relapse occurred during the treatment block.</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Multiple Sclerosis diagnosis (McDonald criteria 2017 or equivalent; neurologist-confirmed)</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Clinically stable MS (no relapse within 3 months; EDSS ≤7.0 for active participation)</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18+ years</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or comply with home-use protocol (with caregiver if needed)</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(including TPS off-label disclosure)</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MS outcome measures (MFIS, EDSS, MoCA)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in stimulation path</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recent craniotomy</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tumour or lesion in planned stimulation path</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provide informed consent</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Epilepsy or seizure history (higher prevalence in MS — requires neurology review)</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Recent relapse (within 3 months) — defer NIBS until clinically stable; reassess EDSS</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heat sensitivity — temperature-controlled session environment required; monitor closely</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cognitive impairment limiting cooperation and outcome measurement</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(especially TPS)</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Dermatological conditions at electrode sites</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severe depression with suicidal ideation (requires psychiatric stabilisation first)</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MS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Motor / Spasticity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contralateral M1 anode (C3/C4) + TPS cranial + peripheral affected limb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Cz (energy modulation) + TPS cranial + taVNS primary + CES daily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P3/P4 anode + TPS frontal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Ataxia-Dominant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Cz / cerebellar (C7 posterior) + M1 anode + TPS cranial + peripheral cerebellar ROI + taVNS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Pain-Dominant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M1 anode (C3/C4) + F3 anode / Pz cathode + TPS cranial + peripheral pain sites + taVNS + CES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Bladder / Autonomic</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 primary (daily) + CES + tDCS F3/F4 supportive + TPS frontal; bladder diary tracking</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Depression-Dominant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 anode / F4 cathode (L-DLPFC up) + TPS frontal + taVNS primary + CES daily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Walking-Impaired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tDCS Cz / SMA + M1 anode (C3/C4) + TPS cranial + peripheral lower limb + taVNS supportive</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