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B3A5C"/>
          <w:sz w:val="32"/>
        </w:rPr>
        <w:t>SOZO BRAIN CENTER — PARTNERS TIER</w:t>
      </w:r>
    </w:p>
    <w:p>
      <w:pPr>
        <w:jc w:val="center"/>
      </w:pPr>
      <w:r>
        <w:rPr>
          <w:rFonts w:ascii="Calibri" w:hAnsi="Calibri"/>
          <w:b/>
          <w:i w:val="0"/>
          <w:color w:val="2E75B6"/>
          <w:sz w:val="28"/>
        </w:rPr>
        <w:t>OCD-Specific 6-Network Bedside Assessment</w:t>
      </w:r>
    </w:p>
    <w:p>
      <w:pPr>
        <w:shd w:val="clear" w:color="auto" w:fill="7B2D8E"/>
        <w:jc w:val="center"/>
      </w:pPr>
      <w:r>
        <w:rPr>
          <w:rFonts w:ascii="Calibri" w:hAnsi="Calibri"/>
          <w:b/>
          <w:i w:val="0"/>
          <w:color w:val="FFFFFF"/>
          <w:sz w:val="22"/>
        </w:rPr>
        <w:t>🟣 FNON + Evidence-Based Assessment — Includes Brain Network Analysis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Patient Name: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Date of Birth: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Date of Assessment: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Clinician: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Session Number: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Medication State: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ON  /  OFF  /  Wash-out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Primary Diagnosis: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Secondary Diagnosis: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Current Medications: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Referral Source: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Notes: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/>
    <w:p>
      <w:r>
        <w:rPr>
          <w:rFonts w:ascii="Calibri" w:hAnsi="Calibri"/>
          <w:b/>
          <w:i w:val="0"/>
          <w:color w:val="1B3A5C"/>
          <w:sz w:val="22"/>
        </w:rPr>
        <w:t xml:space="preserve">Scoring Key: </w:t>
      </w:r>
      <w:r>
        <w:rPr>
          <w:rFonts w:ascii="Calibri" w:hAnsi="Calibri"/>
          <w:b w:val="0"/>
          <w:i w:val="0"/>
          <w:color w:val="2E75B6"/>
          <w:sz w:val="22"/>
        </w:rPr>
        <w:t xml:space="preserve">HYPO (1)  |  </w:t>
      </w:r>
      <w:r>
        <w:rPr>
          <w:rFonts w:ascii="Calibri" w:hAnsi="Calibri"/>
          <w:b w:val="0"/>
          <w:i w:val="0"/>
          <w:color w:val="1B3A5C"/>
          <w:sz w:val="22"/>
        </w:rPr>
        <w:t xml:space="preserve">NORMAL (0)  |  </w:t>
      </w:r>
      <w:r>
        <w:rPr>
          <w:rFonts w:ascii="Calibri" w:hAnsi="Calibri"/>
          <w:b w:val="0"/>
          <w:i w:val="0"/>
          <w:color w:val="CC0000"/>
          <w:sz w:val="22"/>
        </w:rPr>
        <w:t>HYPER (2)</w:t>
      </w:r>
      <w:r>
        <w:rPr>
          <w:rFonts w:ascii="Calibri" w:hAnsi="Calibri"/>
          <w:b/>
          <w:i w:val="0"/>
          <w:color w:val="1B3A5C"/>
          <w:sz w:val="22"/>
        </w:rPr>
        <w:t xml:space="preserve">          Total: 44 Tests (Max Score: 88)</w:t>
      </w:r>
    </w:p>
    <w:p>
      <w:pPr>
        <w:shd w:val="clear" w:color="auto" w:fill="7B2D8E"/>
      </w:pPr>
      <w:r>
        <w:rPr>
          <w:rFonts w:ascii="Calibri" w:hAnsi="Calibri"/>
          <w:b/>
          <w:i w:val="0"/>
          <w:color w:val="FFFFFF"/>
          <w:sz w:val="20"/>
        </w:rPr>
        <w:t xml:space="preserve">🟣 OCD-Adapted Version: </w:t>
      </w:r>
      <w:r>
        <w:rPr>
          <w:rFonts w:ascii="Calibri" w:hAnsi="Calibri"/>
          <w:b w:val="0"/>
          <w:i w:val="0"/>
          <w:color w:val="FFFFFF"/>
          <w:sz w:val="20"/>
        </w:rPr>
        <w:t>Includes obsessive-compulsive cycle markers, error hypermonitoring tests, and OCD network loop phenotype indicators</w:t>
      </w:r>
    </w:p>
    <w:p/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Default Mode Network (DMN)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Intrusive Thought Probe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Ask: 'Do you have unwanted thoughts that feel foreign to you?' Rate frequency and egodystonicity 0-10.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Occasional intrusive thoughts ≤3; egodystonic ≤4; normal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Minimal intrusive thoughts; poor insight; avoidant; or pure-obsessional OCD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≥8 frequency; ≥8 egodystonicity; classic OCD DMN intrusion pattern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Autobiographical Memory — OCD Contamination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 personal memories. Note: does OCD content (contamination, harm) intrude into memory retrieval?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Specific memories; minimal OCD theme contamination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Sparse; avoidant; poor self-referential processing; suppression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OCD themes contaminate non-related memories; memory as obsessional trigger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Ego-Dystonicity Self-Assessment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Ask: 'Do your OCD thoughts feel like you or not like you?' Rate self-discordance 0-10.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0-3; insight into ego-dystonic nature; healthy ego distance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0; thoughts feel ego-syntonic; OCD-personality overlap; poor insight variant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8-10; extreme ego-dystonicity; thoughts feel like alien intrusions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Mind Wandering — OCD Theme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2-min reading with 4 probes. Note: is off-task thinking OCD-themed?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≤1/4 off-task; non-OCD content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0/4; hypervigilant suppression; thought suppression paradox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3-4/4 off-task; OCD-specific obsessional content; DMN-OCD capture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Uncertainty Tolerance Test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Ask: 'Can you leave a task uncertain or incomplete without checking?' Rate tolerance 0-10.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≥6 tolerance; task completion without checking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≥8 tolerance through avoidance of triggering tasks; not adaptive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≤2; extreme uncertainty intolerance; OCD core cognitive signature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Prospective Memory — Checking Behavior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5-min reminder task. Note: does patient check repeatedly that they haven't forgotten?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Independent recall within 5±1 min; no checking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Forgets entirely; poor prospective monitoring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Asks repeatedly before 5 min; checking behavior; OCD prospective uncertainty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Symmetry/Order Observation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Observe if patient adjusts objects during assessment. Rate compulsive ordering 0-10.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0-2; no ordering; tolerates asymmetry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0; complete indifference to order; contamination-type OCD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≥7; adjusts objects; distress at asymmetry; symmetry/ordering OCD subtype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OCD Relevance: OCD involves DMN HYPERACTIVITY dominated by egodystonic intrusive obsessional thoughts — unwanted self-discordant ideation that invades default mode processing. The DMN becomes colonized by obsessional content, creating intrusive thought loops experienced as alien to self-concept.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Default Mode Network (DMN)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Central Executive Network (CEN/FPN)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Digit Span Backward — OCD Doubt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Backward digit recall. Note: does OCD doubt cause re-checking of sequence?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Span ≥5; no re-checking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Span ≤3; cognitive rigidity; executive dysfunction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span but asks to repeat or correct; doubt-driven checking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Trail Making B — Compulsive Retracing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Alternating connections. Note: does patient retrace completed connections?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&lt;90 sec; ≤2 errors; no retracing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 &gt;150 sec; poor cognitive flexibility; OCD CEN rigidity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 due to retracing and checking; &gt;150 sec from compulsive retracing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Verbal Fluency FAS — Rule Checking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Letter fluency 60 sec per letter. Note: does OCD doubt interrupt generation?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≥10 words; no self-doubt interruptions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&lt;6; cognitive rigidity; poor fluency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count but interrupted by 'does that count?'; rule-checking during fluency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Stroop — OCD Content Words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Include contamination or harm words. Compare interference.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&lt;45 sec; ≤3 errors; no content-specific slowing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 Stroop effect; avoidant OCD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Selectively slowed on OCD-relevant words; OCD emotional Stroop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Serial 7 Subtraction — Rechecking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Backward 100-7 for 5 steps. Note: does patient recheck answers?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5/5 correct; no rechecking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≤2/5; arithmetic failure; executive HYPO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4-5/5 but asks to 'check'; compulsive rechecking; OCD CEN-checking loop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Go/No-Go Task — Error Distress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Tap for all except X. Note: do errors cause extreme distress?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 commission; ≤2 omission; accepts errors calmly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High omissions; avoidant; poor inhibitory initiation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1-2 commission errors cause extreme distress; error hypersensitivity; OCD hallmark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Cognitive Flexibility — Rule Switch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Sort 6 objects by size then color. Switch rule without announcement. Note perseveration.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Detects rule change within 2 trials; &lt;3 perseverative errors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Cannot detect change; extreme perseveration; OCD cognitive rigidity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Detects change but repeats old rule; needs explicit confirmation before switching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OCD Relevance: CEN dysfunction in OCD is complex: HYPER error-monitoring loops (OFC-ACC hyperactivation) alongside HYPO inhibitory control (inability to suppress compulsive behavior). The CEN cannot terminate obsessional sequences — cognitive inflexibility and poor set-shifting drive the compulsive loop.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Central Executive Network (CEN/FPN)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Salience Network (SN)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Error Hypermonitoring Screen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Ask: 'Do you feel you've made a mistake even when you know you haven't?' Rate 0-10.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0-3; appropriate error monitoring; accepts non-errors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0-1; no error monitoring; poor self-evaluation; insight deficit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≥8; constant error sense; ACC hyperactivation; 'not just right' OCD hallmark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'Not Just Right' Experience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Present 3 tasks (stack books, align pens, close box). Rate discomfort if not perfectly aligned 0-10.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0-3; tolerates imperfection; ≤3 sensory discomfort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0; complete indifference; contamination OCD; not symmetry-type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≥7 on ≥2 tasks; extreme 'not just right'; SN HYPER OCD signature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Interoception — Contamination Focus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Count heartbeats 25 sec. Then ask: 'Are you aware of contamination sensations on your hands?'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Accurate heartbeat count; no contamination hyperawareness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Low accuracy; poor interoception; avoidant suppression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High accuracy AND hyperaware of somatic contamination cues; SN contamination circuit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Doubt Generation Test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 patient to lock/close something then walk away. Rate return urge 0-10.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 return urge; completion accepted; uncertainty tolerated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 checking urge; avoidant; hasn't engaged with trigger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Strong return urge ≥8; cannot tolerate completion uncertainty; OCD SN hallmark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Contamination Sensitivity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 patient to touch a common object (pen). Rate disgust/contamination discomfort 0-10.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0-3; no contamination sensitivity; tolerates neutral touch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0; complete indifference; other OCD type; suppression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≥7; contamination disgust; hand-washing urge; contamination OCD subtype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Sensory Switching — OCD Doubt on Transition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Alternate visual and auditory tasks. Note: does switching trigger doubt about previous task?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&lt;2 sec switch; smooth; no backward doubt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 switching; rigid; poor cognitive flexibility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Switches but immediately doubts previous task; OCD doubt on transition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Harm OCD — Threat Overestimation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Rate probability that touching a doorknob will cause illness 0-100%.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&lt;5%; realistic probability assessment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0%; denial; minimization; not harm-type OCD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≥40%; extreme threat overestimation; harm OCD; SN-ACC hyperactivation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OCD Relevance: SN HYPERACTIVITY is the engine of OCD: ACC generates excessive error signals ('not just right' experiences) and anterior insula drives visceral discomfort motivating compulsions. OCD's SN creates false alarm error detection without true pathology.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Salience Network (SN)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Sensorimotor Network (SMN) — Max Score: 16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Compulsive Motor Survey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Ask: 'Do you perform repeated physical actions to reduce anxiety (checking, washing, ordering, tapping)?' Rate categories 0-10.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0-2 ritual categories; brief, controllable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0; pure obsessional OCD; mental rituals only; no motor compulsions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≥5 ritual categories; hours of compulsive motor behavior/day; SMN HYPER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Motor Inhibition — Compulsion Stop Test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Start writing 5 letters; ask patient to stop mid-sequence. Rate urge to complete 0-10.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Stops immediately; urge ≤3; accepts incompletion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Stops; no urge; avoidant or pure obsessional type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Cannot stop; 'must finish'; urge ≥8; compulsive motor completion; corticostriatal loop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Finger Tapping — Symmetry Check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Tapping 10 sec each hand. Note: does asymmetry in counts trigger checking?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≥45 taps each; accepts count difference; no checking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&lt;40; motor slowing; suppression state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tapping but asks for count comparison; adjusts to match; symmetry OCD motor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Repetitive Movement Observation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Count skin picking, nail checking, object adjustment, hair touching during 10-min assessment.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0-2 self-directed behaviors per 10 min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0; frozen; avoidant; hypervigilant self-control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≥5 repetitive self-directed behaviors per 10 min; motor compulsive pattern; OCD SMN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Tandem Gait — Symmetry OCD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Heel-to-toe 10 steps. Note: does step asymmetry trigger compulsive re-stepping?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≤1 step off; completes without repeating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Multiple failures; poor coordination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Steps off then re-does; symmetry OCD triggers motor compulsion during gait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Romberg Test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Feet together eyes closed 30 sec.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Stable; minimal sway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Excessive sway; poor proprioception; motor disengagement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Stable but extreme vigilance about body position; hyperaware of sway; interoceptive OCD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Rapid Alternating Movements — Rhythm Checking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Pronate/supinate 10 sec. Note: does patient check rhythm quality?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Regular; ≥14 cycles; accepts rhythm variations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Slow; rigid; poor motor engagement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Regular but asks if rhythm was correct; performance checking; OCD motor doubt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Writing Sample — Perfectionism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Write name and address. Note: erasing, restarting, extreme dissatisfaction?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Legible; complete; accepts imperfection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Sparse; avoidant of writing task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Rewrites ≥2 times; extreme perfectionism; compulsive writing; OCD motor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OCD Relevance: OCD SMN shows HYPER compulsive motor output: repetitive movements (checking, washing, ordering) reflect cortico-striato-thalamo-cortical loop hyperactivation. Motor inhibition is HYPO — the patient cannot stop compulsive motor sequences once initiated.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Sensorimotor Network (SMN) Total: _____ / 16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Limbic / Emotional Network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Anxiety Without Compulsion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Rate anxiety when NOT performing compulsion after obsession triggers 0-10.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0-4; moderate anxiety; ERP-amenable; proportionate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0; no anxiety; pure obsessional or avoidant; no compulsions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≥8; intolerable anxiety; driving all compulsive behavior; limbic HYPER OCD core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Emotional Face Recognition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6 emotions from photos. Note threat/disgust biases.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≥5/6 correct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&lt;4/6; emotional recognition failure; OCD emotional blunting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Misidentifies neutral as disgusted/fearful; emotion misattribution; OCD threat bias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Disgust Sensitivity Screen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Rate disgust to 5 scenarios (touching trash, raw meat, spider, stranger's pen, public toilet) 0-10 each.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Average ≤4; proportionate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Average ≤2; disgust blunting; not contamination OCD type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Average ≥7; extreme disgust sensitivity; contamination OCD limbic HYPER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Affect Labeling — OCD Context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 scenarios including 1 OCD-adjacent. Name emotional response.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Accurate, proportionate labels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Flat; 'nothing'; OCD avoidant suppression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Extreme disgust/anxiety on OCD scenario; disproportionate emotional magnitude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Fear Response — Harm OCD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 harm-adjacent scenarios. Rate anxiety 0-10.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Anxiety ≤5; proportionate to actual harm risk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Flat; denial; poor harm appraisal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≥8; catastrophic; hyperresponsive to all harm-adjacent scenarios; harm OCD limbic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Reward Sensitivity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Rate interest in 5 activities 0-10.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Average ≥6; maintains enjoyment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Average ≤3; OCD has consumed hedonic capacity; limbic HYPO from exhaustion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High interest expressed but OCD rituals prevent engagement; barrier vs anhedonia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Affective Flexibility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Sad then happy memory. Mood shift and recovery.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Shift ≥3; recovery &lt;3 min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Flat; no affect shift; OCD-emotional numbing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Sad memory triggers OCD rumination; positive memory contaminated by OCD doubt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OCD Relevance: Limbic HYPERACTIVITY in OCD drives the anxiety-compulsion cycle: anxiety from obsessions motivates compulsions for temporary relief. Amygdala hyperreactivity to contamination, harm, and symmetry violations creates emotional urgency sustaining OCD.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Limbic / Emotional Network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Attention Networks (DAN/VAN) — Max Score: 16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Sustained Attention — OCD Checking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Count backward from 50 for 60 sec. Note: does patient check progress or restart after errors?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 errors; continues without restarting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Poor sustained engagement; avoidant; stops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Makes 1 error; restarts from 100; compulsive restart; OCD attention-checking loop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Selective Attention — OCD Trigger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Circle all A's in 20-item list. Include OCD-relevant word. Note attentional capture.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&lt;60 sec; ≤3 errors; uniform across items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Slow; multiple omissions; poor attentional engagement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Slows near OCD-relevant word; attentional capture; VAN HYPER for OCD cues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Divided Attention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Backward by 2s while naming objects.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 errors each task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Abandons one; rigid; cannot divide attention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performance but demands certainty in each task; cannot tolerate dual-task uncertainty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Visual Search — Over-Checking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Find star among 20 distractors. Note: does patient continue searching after finding target?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&lt;20 sec; systematic; stops when found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Fails; gives up; poor attentional drive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Finds target but continues checking to 'make sure'; OCD attentional over-checking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Alerting — Compulsion Readiness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Observe: is patient in heightened readiness for OCD triggers throughout assessment?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Appropriate relaxed readiness; not hypervigilant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Absent alerting; disengaged; avoidant OCD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Chronically hyper-alerted; scanning for triggers; OCD hypervigilance throughout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Attentional Lock — OCD Theme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Show OCD-relevant image (dirty object). Time to voluntarily look away.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Looks away within 5 sec on request; smooth disengagement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Immediate avoidant gaze aversion; cannot look; avoidant OCD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Cannot look away for &gt;15 sec; attentional lock; OCD SN-VAN capture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Response Inhibition Cancel — Double Check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Cancel circles on mixed-shape sheet. Note: does patient double-cancel items?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&lt;60 sec; ≤2 errors; no double-cancellation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Slow; omissions; poor inhibitory drive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time but double-cancels ≥3 items; compulsive checking during task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Attentional Fatigue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Letter cancellation 5 min; compare halves.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Drop &lt;15%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Drop &gt;40%; rapid attentional fatigue; OCD cognitive exhaustion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Performance maintained but checking behavior increases over time; compensatory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OCD Relevance: Attention in OCD shows HYPER for obsessional cues (hypervigilance for triggers) and HYPO for flexible attention (unable to disengage from obsessional focus). VAN HYPER captures and locks attention onto obsession-relevant stimuli; DAN HYPO reduces top-down control.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Attention Networks (DAN/VAN) Total: _____ / 16</w:t>
      </w:r>
    </w:p>
    <w:p>
      <w:pPr>
        <w:spacing w:before="200" w:after="80"/>
      </w:pPr>
      <w:r>
        <w:rPr>
          <w:rFonts w:ascii="Calibri" w:hAnsi="Calibri"/>
          <w:b/>
          <w:i w:val="0"/>
          <w:color w:val="1B3A5C"/>
          <w:sz w:val="28"/>
        </w:rPr>
        <w:t>Network Summary Profile</w:t>
      </w:r>
    </w:p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Map network scores to phenotype for FNON-based montage and protocol selection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Network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Max Score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Raw Score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% of Max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Dysfunction Pattern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Default Mode Network (DMN)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Central Executive Network (CEN/FPN)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Salience Network (SN)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Sensorimotor Network (SMN)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Limbic / Emotional Network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Attention Networks (DAN/VAN)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GRAND TOTAL</w:t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88</w:t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</w:tr>
    </w:tbl>
    <w:p/>
    <w:p>
      <w:r>
        <w:rPr>
          <w:rFonts w:ascii="Calibri" w:hAnsi="Calibri"/>
          <w:b/>
          <w:i w:val="0"/>
          <w:color w:val="1B3A5C"/>
          <w:sz w:val="22"/>
        </w:rPr>
        <w:t xml:space="preserve">Dominant Network Dysfunction: </w:t>
      </w:r>
      <w:r>
        <w:rPr>
          <w:rFonts w:ascii="Calibri" w:hAnsi="Calibri"/>
          <w:b w:val="0"/>
          <w:i w:val="0"/>
          <w:sz w:val="22"/>
        </w:rPr>
        <w:t>_______________________________   Score: _____ / _____</w:t>
      </w:r>
    </w:p>
    <w:p/>
    <w:p>
      <w:r>
        <w:rPr>
          <w:rFonts w:ascii="Calibri" w:hAnsi="Calibri"/>
          <w:b/>
          <w:i w:val="0"/>
          <w:color w:val="1B3A5C"/>
          <w:sz w:val="22"/>
        </w:rPr>
        <w:t xml:space="preserve">Secondary Network: </w:t>
      </w:r>
      <w:r>
        <w:rPr>
          <w:rFonts w:ascii="Calibri" w:hAnsi="Calibri"/>
          <w:b w:val="0"/>
          <w:i w:val="0"/>
          <w:sz w:val="22"/>
        </w:rPr>
        <w:t>_______________________________   Tertiary: _______________________________</w:t>
      </w:r>
    </w:p>
    <w:p/>
    <w:p>
      <w:pPr>
        <w:spacing w:before="200" w:after="80"/>
      </w:pPr>
      <w:r>
        <w:rPr>
          <w:rFonts w:ascii="Calibri" w:hAnsi="Calibri"/>
          <w:b/>
          <w:i w:val="0"/>
          <w:color w:val="1B3A5C"/>
          <w:sz w:val="28"/>
        </w:rPr>
        <w:t>Phenotype Assignment</w:t>
      </w:r>
    </w:p>
    <w:p>
      <w:r>
        <w:rPr>
          <w:rFonts w:ascii="Calibri" w:hAnsi="Calibri"/>
          <w:b w:val="0"/>
          <w:i w:val="0"/>
          <w:sz w:val="22"/>
        </w:rPr>
        <w:t>OCD phenotypes: (1) CONTAMINATION — SN HYPER (disgust-contamination) + Limbic HYPER; (2) HARM/CHECKING — SN HYPER (error-monitoring) + Limbic HYPER; (3) SYMMETRY/ORDERING — SMN HYPER + SN 'not just right'; (4) PURE-O — DMN HYPER + CEN HYPO (mental rituals). Map dominant obsessional theme to primary FNON target.</w:t>
      </w:r>
    </w:p>
    <w:p/>
    <w:p>
      <w:r>
        <w:rPr>
          <w:rFonts w:ascii="Calibri" w:hAnsi="Calibri"/>
          <w:b/>
          <w:i w:val="0"/>
          <w:color w:val="1B3A5C"/>
          <w:sz w:val="22"/>
        </w:rPr>
        <w:t xml:space="preserve">Assigned Phenotype: </w:t>
      </w:r>
      <w:r>
        <w:rPr>
          <w:rFonts w:ascii="Calibri" w:hAnsi="Calibri"/>
          <w:b w:val="0"/>
          <w:i w:val="0"/>
          <w:sz w:val="22"/>
        </w:rPr>
        <w:t>________________________________________</w:t>
      </w:r>
    </w:p>
    <w:p/>
    <w:p>
      <w:r>
        <w:rPr>
          <w:rFonts w:ascii="Calibri" w:hAnsi="Calibri"/>
          <w:b/>
          <w:i w:val="0"/>
          <w:color w:val="7B2D8E"/>
          <w:sz w:val="22"/>
        </w:rPr>
        <w:t xml:space="preserve">FNON Strategy: </w:t>
      </w:r>
      <w:r>
        <w:rPr>
          <w:rFonts w:ascii="Calibri" w:hAnsi="Calibri"/>
          <w:b w:val="0"/>
          <w:i w:val="0"/>
          <w:sz w:val="22"/>
        </w:rPr>
        <w:t>Primary: Inhibit SN hyperactivation (cathodal over ACC/OFC or supplementary motor area). Facilitate right DLPFC for top-down inhibitory control of compulsive sequences. For symmetry-type: target SMN inhibition (M1 cathodal). Combine with ERP therapy.</w:t>
      </w:r>
    </w:p>
    <w:p/>
    <w:p>
      <w:pPr>
        <w:spacing w:before="200" w:after="80"/>
      </w:pPr>
      <w:r>
        <w:rPr>
          <w:rFonts w:ascii="Calibri" w:hAnsi="Calibri"/>
          <w:b/>
          <w:i w:val="0"/>
          <w:color w:val="1B3A5C"/>
          <w:sz w:val="28"/>
        </w:rPr>
        <w:t>Medication &amp; Clinical Notes</w:t>
      </w:r>
    </w:p>
    <w:p>
      <w:pPr>
        <w:shd w:val="clear" w:color="auto" w:fill="CC0000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⚠ CRITICAL: </w:t>
      </w:r>
      <w:r>
        <w:rPr>
          <w:rFonts w:ascii="Calibri" w:hAnsi="Calibri"/>
          <w:b w:val="0"/>
          <w:i w:val="0"/>
          <w:color w:val="FFFFFF"/>
          <w:sz w:val="20"/>
        </w:rPr>
        <w:t>CRITICAL: Record medication state at each assessment. Results may differ significantly ON vs OFF medication.</w:t>
      </w:r>
    </w:p>
    <w:p>
      <w:r>
        <w:rPr>
          <w:rFonts w:ascii="Calibri" w:hAnsi="Calibri"/>
          <w:b/>
          <w:i w:val="0"/>
          <w:color w:val="1B3A5C"/>
          <w:sz w:val="22"/>
        </w:rPr>
        <w:t xml:space="preserve">Medication State at Assessment: </w:t>
      </w:r>
      <w:r>
        <w:rPr>
          <w:rFonts w:ascii="Calibri" w:hAnsi="Calibri"/>
          <w:b w:val="0"/>
          <w:i w:val="0"/>
          <w:sz w:val="22"/>
        </w:rPr>
        <w:t>□ ON Medication    □ OFF Medication    □ Medication Wash-out    □ Unmedicated</w:t>
      </w:r>
    </w:p>
    <w:p/>
    <w:p>
      <w:r>
        <w:rPr>
          <w:rFonts w:ascii="Calibri" w:hAnsi="Calibri"/>
          <w:b/>
          <w:i w:val="0"/>
          <w:color w:val="1B3A5C"/>
          <w:sz w:val="20"/>
        </w:rPr>
        <w:t xml:space="preserve">Medication Name/Dose/Timing: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Time Since Last Dose: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Clinical Observations: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Network Interpretation Notes: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Next Assessment Date: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