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POST-TRAUMATIC STRESS DISORDER (PTSD)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PTSD Relevance: </w:t>
      </w:r>
      <w:r>
        <w:rPr>
          <w:sz w:val="20"/>
        </w:rPr>
        <w:t>Trauma-invaded. Trauma-related intrusive memories and flashbacks hijack DMN self-referential processing. Dissociation reflects DMN fragmentation. Peri-traumatic identity disruption persists as DMN reorganisation around trauma narrative.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trauma-content intrusions in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2=Constant/flashbacks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 (trauma vs pre-trauma)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1=Trauma dominates, 2=Pre-trauma lost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to trauma content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1=Occasional, 2=Constant intrusions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Dissociation (depersonalisation screen)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2=Severe/derealization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and identity coherence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1=Disrupted, 2=Fragmented identity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(hopelessness/foreshortened)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1=Limited, 2=No sense of future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Cognitive fluctuations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0=Consistent, 1=Slowed, 2=Flashback-induced disruption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PTSD Relevance: </w:t>
      </w:r>
      <w:r>
        <w:rPr>
          <w:sz w:val="20"/>
        </w:rPr>
        <w:t>HYPO. Impaired prefrontal executive control over trauma memories prevents extinction of fear responses. Reduced DLPFC activity impairs emotion regulation and inability to contextualise trauma memories as past events.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PTSD Relevance: </w:t>
      </w:r>
      <w:r>
        <w:rPr>
          <w:sz w:val="20"/>
        </w:rPr>
        <w:t>HYPER. PRIMARY NETWORK IN PTSD. Amygdala hyperactivation drives threat hypervigilance. Anterior insula hyperactivity produces interoceptive hyperarousal. dACC hyperactivity maintains the chronic hyperarousal state.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2=Exaggerated/prolonged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Pain sensitivity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1=Hypo-dissociated, 2=Hyper/hyperalgesia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 (body-threat monitoring)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2=Excessive/distressing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 to trauma cue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1=Numbed, 2=Panic/flashback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(vigilance maintenance)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leave threat-focus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2=Over-correcting/hypervigilant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 (HR, diaphoresis, BP)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2=Hyper/tachycardia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PTSD Relevance: </w:t>
      </w:r>
      <w:r>
        <w:rPr>
          <w:sz w:val="20"/>
        </w:rPr>
        <w:t>Trauma-encoded. Startle responses, muscle tension, freezing/fight/flight motor activations, and motor agitation are SMN hyperactivation signatures. Somatic trauma memories are stored in sensorimotor circuits.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reflex motor amplitude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2=Exaggerated/full body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Muscle tension (neck/shoulders)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2=Rigid/painful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Breathing pattern (hyperventilation)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1=Shallow/fast, 2=Hyperventilation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Motor agitation / restlessness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2=Cannot sit still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Freezing episodes (trauma cue)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1=Brief, 2=Prolonged freezing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Tremor (anxiety-mediated)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0=Absent, 1=Mild, 2=Visible tremor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Avoidance body movements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 restriction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Autonomic motor (flushing/pallor)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PTSD Relevance: </w:t>
      </w:r>
      <w:r>
        <w:rPr>
          <w:sz w:val="20"/>
        </w:rPr>
        <w:t>HYPER. PRIMARY CO-NETWORK. Amygdala fear conditioning drives all re-experiencing symptoms. Hippocampal contextualisation failure prevents trauma memories from being stored as non-threatening past events.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(numbing vs lability)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1=Numbed/flat, 2=Labile/panicked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 depression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/ hyperarousal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social withdrawal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2=Complete isolation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1=Anhedonia,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Fear response to trauma cues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2=Severe panic/flashback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2=Dysregulated/rage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PTSD Relevance: </w:t>
      </w:r>
      <w:r>
        <w:rPr>
          <w:sz w:val="20"/>
        </w:rPr>
        <w:t>Threat-biased. Hypervigilant threat scanning reflects DAN hyperresponsivity to danger cues. VAN over-activation produces exaggerated orienting to trauma-related stimuli. Sustained attention to non-threat is severely impaired.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(non-threat tasks)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Hypervigilant threat scanning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2=Constant/cannot stop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 (startle to sounds)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2=Hypervigilant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to potential threats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2=Locked onto threat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Disengagement from trauma cues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(hyperarousal)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1=Normal, 2=Constant hyperarousal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PTSD-Specific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Anodal vmPFC tDCS for fear extinction / trauma reconsolidation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for prefrontal fear regulation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amygdala/insula hyperactivation (primary)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SMA tDCS to reduce somatic hyperarousal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amygdala fear circuit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rTPJ tDCS to reduce threat attentional bias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Re-experiencing dominant  ☐ Avoidance dominant  ☐ Hyperarousal dominant  ☐ Dissociative subtype  ☐ Complex PTSD  ☐ Military/combat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