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POST-TRAUMATIC STRESS DISORDER</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Post-Traumatic Stress Disorder (PTSD).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Post-Traumatic Stress Disorder (PTSD)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PTSD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PTSD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INVESTIGATIONAL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Military cohort studies</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Post-Traumatic Stress Disorder is INVESTIGATIONAL at SOZO Brain Center. It is not CE-marked or FDA-approved for PTSD.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PTSD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Post-Traumatic Stress Disorder (PTSD).</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PTSD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PTSD treatment. Trauma-sensitive consent procedures must be followed.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PTSD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prefrontal upregulation for fear regulation and trauma memory reconsolidation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Primary adjunctive — parasympathetic vagal regulation and fear extinction enhancement</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 510k cleared for anxiety; supportive for PTSD hyperarousal and sleep</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PTSD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Intrusive memories (unwanted, recurring trauma memories)</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Flashbacks (reliving the trauma as if happening now)</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Nightmares (trauma-related disturbing dreams)</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Emotional reactivity (intense distress to triggers)</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Avoidance of trauma-related situations</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Avoidance of trauma-related thoughts / feelings</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Hypervigilance (constantly on guard, scanning for danger)</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Exaggerated startle response</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disturbance (insomnia, fragmented sleep)</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persistent low mood</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Anger and irritability</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Concentration difficulty</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Guilt and shame</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Emotional detachment / numbing</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Trust and relationship difficulties</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Substance use (as coping mechanism)</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Re-experiencing, Avoidance-Dominant, Hyperarousal, Dissociative, Complex PTSD, TBI Comorbid, Depression Comorbid, Nightmare-Dominant, or Moral Injury.</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PTSD: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Re-experiencing</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Hippocampal-amygdala hyperconnectivity; SN over-encoding of trauma signal; DMN trauma-narrative intrusion</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Avoidance-Dominant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CEN-mediated behavioural suppression; SN avoidance routing; LIMBIC fear avoidance coupling</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Hyperarousal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tonic hyperactivation; LIMBIC-autonomic coupling; reduced prefrontal inhibition (CEN hypofunction)</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Dissociative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DMN-SN dissociation (depersonalisation/derealisation); altered interoceptive processing; LIMBIC suppression</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Complex PTSD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Multi-network disruption; CEN-LIMBIC-SN triad; identity and emotional regulation impairment; prolonged trauma</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TBI Comorbid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damage + SN hyperactivation; dual pathology — requires TBI and PTSD network mapping simultaneously</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Depression Comorbid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hyperactivation + CEN hypofunction; overlapping MDD-PTSD network disruption profile</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Nightmare-Dominant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LIMBIC-hippocampal sleep consolidation disruption; SN arousal during REM; night-specific re-experiencing</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(PTSD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SSRI / SNRI / prazosin (name, dose, timing of last dose, adherence); note current distress rating and any recent trauma exposure or flashback episode</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(SSRI/SNRI adherence, timing of last dose, current distress rating, any trauma exposure since last session)</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F4 cathode (L-DLPFC up)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Fear regulation / executive</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Trauma-focused CBT (with therapist), cognitive processing, safe-memory activation</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Bilateral prefrontal (F3/F4 anode)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Hyperarousal / mood</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Grounding techniques, present-moment awareness, diaphragmatic breathing</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Right temporal inhibition (TP8 cathode / F3 anode)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Trauma intrusion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EMDR preparation tasks, bilateral sensory stimulation, calm-place imagery</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primary</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Parasympathetic / fear extinction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Slow breathing (5 breaths/min), progressive muscle relaxation, fear hierarchy exposure (low level)</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 + taVNS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Hyperarousal and sleep</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 restriction therapy, relaxation response training, grounding protocol</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Intrusion / Re-experiencing</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reduction in PCL-5 intrusion subscale + PRS re-experiencing items</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Hyperarousal / Avoidance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hypervigilance and avoidance ratings (PRS + PCL-5 arousal and avoidance subscales)</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 / Nightmares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sleep quality and nightmare frequency (PRS + sleep diary)</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Function / Mood</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social and occupational function, reduced depression/guilt (PRS secondary items + patient-reported)</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PTSD symptoms fluctuate with trauma anniversaries, media exposure, and social triggers. Standardise assessment conditions between baseline and follow-up. Document significant trauma-related events, exposure therapy milestones, and concurrent psychotherapy progress when interpreting SOZO PRS changes. Avoidance behaviours may mask symptom severity at follow-up — use corroborating clinician assessment.</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PTSD diagnosis (DSM-5 / ICD-11 criteria; clinician-administered CAPS-5 or PCL-5 ≥33 preferred)</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Moderate to severe PTSD symptom burden causing functional impairment</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 sufficient stabilisation for NIBS (not in acute crisis)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 trauma-sensitive process)</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PTSD outcome measures (PCL-5 or equivalent)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suicidal ideation with plan or intent (requires psychiatric stabilisation first)</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dissociative episodes during sessions (pause; ground first; proceed only when stabilised)</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substance abuse or dependence (requires co-management with addiction specialist)</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comorbid bipolar disorder in acute phase (requires mood stabilisation first)</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PTSD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Re-experiencing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(L-DLPFC up) + TPS frontal + right temporal + taVNS primary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Avoidance-Dominant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TPS frontal + taVNS primary; pair with graduated exposure hierarchy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Hyperarousal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(daily) + taVNS primary + tDCS F3 anode / Fpz cathode + TPS frontal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Dissociative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 primary + CES + tDCS F3/F4 bilateral (low intensity) + TPS frontal; avoid high stimulation intensity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Complex PTSD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TPS frontal comprehensive + taVNS primary + CES; extended treatment block</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TBI Comorbid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Cz (TBI processing) + TPS frontal + taVNS + CES; address TBI network first</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Depression Comorbid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 TPS frontal + taVNS primary + CES daily; integrated PTSD-MDD protocol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Nightmare-Dominant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 (pre-sleep primary) + taVNS (evening) + tDCS Fpz / F3 cathode + TPS frontal supportive</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