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TRAUMATIC BRAIN INJURY (TBI)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TBI Relevance: </w:t>
      </w:r>
      <w:r>
        <w:rPr>
          <w:sz w:val="20"/>
        </w:rPr>
        <w:t>Disrupted by diffuse axonal injury (DAI) affecting PCC-mPFC white matter tracts. Identity disruption, self-monitoring failure, and poor self-awareness of deficits (anosognosia) reflect DMN connectivity breakdown.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cognitive deficits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 anosognosia, 2=Severe anosognosia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Autobiographical memory continuity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1=PTA-related gaps, 2=Dense retrograde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Mind-wandering / disorientation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1=Occasional, 2=Persistent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Identity coherence post-injury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0=Intact, 1=Struggling, 2=Fragmented/denied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Self-monitoring during tasks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planning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Cognitive fluctuations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0=Consistent, 1=Slowed, 2=Fluctuating badly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TBI Relevance: </w:t>
      </w:r>
      <w:r>
        <w:rPr>
          <w:sz w:val="20"/>
        </w:rPr>
        <w:t>HYPO. DLPFC is particularly vulnerable to both focal and blast injury. Executive dysfunction, working memory impairment, and impaired problem-solving reflect disrupted CEN after TBI of any severity.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1=Slow/errors,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 (forward &amp; backward)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 &lt;12,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Planning (clock drawing)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1=Perseverative,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(walk + count)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TBI Relevance: </w:t>
      </w:r>
      <w:r>
        <w:rPr>
          <w:sz w:val="20"/>
        </w:rPr>
        <w:t>HYPER/dysregulated. Emotional lability, stimulus sensitivity, and impulsivity reflect SN hyperexcitability post-TBI. Post-traumatic stress responses may develop as a SN sensitisation phenomenon.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Startle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2=Exaggerated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Pain / headache sensitivity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1=Hypo, 2=Hyper/photophobia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Interoception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1=Reduced, 2=Excessive/distress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Emotional reactivity / lability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1=Blunted, 2=Explosive/labile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 switching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2=Impulsive switching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monitoring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TBI Relevance: </w:t>
      </w:r>
      <w:r>
        <w:rPr>
          <w:sz w:val="20"/>
        </w:rPr>
        <w:t>Variable by lesion. Vestibular/balance disruption, oculomotor abnormalities, fine motor slowing, and post-concussive motor speed reduction reflect SMN and cerebellar involvement post-TBI.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Balance (Romberg/tandem)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 impairment, 2=Cannot perform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Coordination (finger-to-nose)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1=Mild dysmetria, 2=Severe ataxia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Gait stability (tandem walk)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1=Unsteady, 2=Cannot perform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Fine motor speed (tapping)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2=Severely slowed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Oculomotor exam (smooth pursuit)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1=Saccadic pursuit, 2=Cannot track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Grip strength (dynamometer)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2=Severely reduced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motor (walk + cognitive)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2=Cannot dual-task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Proprioception (position sense)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TBI Relevance: </w:t>
      </w:r>
      <w:r>
        <w:rPr>
          <w:sz w:val="20"/>
        </w:rPr>
        <w:t>Dysregulated. Irritability, aggression, depression, and apathy are among the most common sequelae of TBI. Amygdala hyperreactivity, hippocampal vulnerability, and OFC disruption drive behavioural changes.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(irritability/lability)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1=Irritable, 2=Explosive/aggressive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1=Low/depressed, 2=Severe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Anxiety / PTSD symptoms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2=Severe/PTSD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/ apathy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Reward sensitivity / impulsivity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1=Reduced, 2=Risk-seeking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Frustration tolerance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2=Explosive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1=Poor, 2=Severely dysregulated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TBI Relevance: </w:t>
      </w:r>
      <w:r>
        <w:rPr>
          <w:sz w:val="20"/>
        </w:rPr>
        <w:t>HYPO. Post-concussive attentional deficits are the most common and persistent cognitive symptom. DAN disruption causes poor sustained attention; processing speed reduction is a hallmark across severities.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Sustained attention (continuous task)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1=Lapses,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Processing speed (Stroop)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2=Severely slowed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Visual search / scanning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2=Cannot complete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Auditory attention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Orienting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1=Delayed,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Reorienting after distraction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2=Cannot refocus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 (fatigue-related fluctuation)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1=Drowsy, 2=Severe fatigue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TBI-Specific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Cathodal mPFC tDCS for anosognosia / self-monitoring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/ TPS FT3 for executive function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CES for emotional lability and SN normalisation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cerebellar tDCS for vestibular/coordination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Bifrontal tDCS / TPS FT4 for behavioural regulation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parietal tDCS / TPS FT5 for processing speed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Mild/Concussion  ☐ Moderate  ☐ Severe  ☐ Executive dominant  ☐ Post-traumatic headache  ☐ Behavioural  ☐ DOC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