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TRAUMATIC BRAIN INJURY</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Traumatic Brain Injury (TBI).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Traumatic Brain Injury (TBI)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TBI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TBI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Traumatic Brain Injury is INVESTIGATIONAL at SOZO Brain Center. It is not CE-marked or FDA-approved for TBI.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TBI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Traumatic Brain Injury (TBI).</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TBI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TBI treatment. Where cognitive capacity is reduced, an authorised representative must provide consent.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TBI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emerging evidence for cognitive and mood rehabilitation post-TBI</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neuroprotection, pain, and autonomic modulation post-TBI</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post-TBI headache, sleep, and anxiety component</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TBI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Headache (frequency and intensity)</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Concentration (sustained focus difficulty)</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Memory (short-term recall, working memory)</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Processing speed (mental slowing)</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Balance and dizziness</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Fatigue (cognitive and physical)</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Light sensitivity (photophobia)</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Noise sensitivity (phonophobia)</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Mood / irritability</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Frustration tolerance</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function</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Motivation</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Word-finding difficulty</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Decision-making impairment</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Post-Concussion, Executive-Dominant, Headache-Dominant, Behavioural, Vestibular, Fatigue-Dominant, Memory-Impaired, Processing Speed, or Sleep-Dominant.</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TBI: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Post-Concussion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Diffuse CEN-SN-DMN disruption; widespread network inefficiency; multisymptom mild TBI presentation</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fragmentation (frontal lobe impact); planning, inhibition, and cognitive flexibility impairment</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sensitisation (central sensitisation + trigeminal pathway); pain-attention network coupling</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Behavioural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CEN-LIMBIC dysregulation (orbitofrontal / temporal injury); disinhibition, impulsivity, emotional lability</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Vestibular</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SMN-cerebellar-ATTENTION pathway disruption; balance, dizziness, and oculomotor network impairment</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Global network energy impairment; thalamo-cortical modulation disruption; cognitive fatigue circuit</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Memory-Impaired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DMN-hippocampal network disruption + CEN working memory deficit; encoding and retrieval impairment</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Processing Speed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Diffuse white matter disruption (axonal injury); CEN-ATTENTION network slowing; reaction time impairment</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(TBI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current medications (analgesics, neuroprotective agents, antidepressants, sleep aids) — dose, timing, last administration; note headache status today</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(TBI medication adherence, timing of last dose, headache rating and fatigue level at session start)</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 working memory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Graded cognitive rehabilitation (task-switching, planning tasks, structured problem-solving)</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Cz / Fz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Processing speed / attention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Reaction time tasks, visual vigilance (CPT), simple go/no-go paradigm</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Pz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Memory / DMN modulation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Structured recall tasks, spaced repetition, verbal and visual memory exercises</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cathode / F3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 / arousal reduction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Relaxation response, guided breathing, biofeedback; reduce screen exposure during session</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CES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 and pain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Slow breathing, body scan, paced activity scheduling; no high-effort cognitive load</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in PCSS cognitive items + objective cognitive screen (MoCA or processing speed battery)</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 / Pain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headache frequency and intensity (PRS headache item + headache diary)</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fatigue severity (PRS fatigue item) and improved activity tolerance and daily functioning</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Mood /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mood, irritability, and social/occupational function (PRS secondary + patient-reported)</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TBI symptom recovery is non-linear and confounded by spontaneous recovery, sleep quality, and psychological factors. Standardise assessment conditions between baseline and follow-up. Acute illness, stress events, or medication changes in the preceding two weeks must be documented. Distinguish NIBS-attributable change from ongoing spontaneous neurological recovery, particularly in the first 12 months post-injury.</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TBI diagnosis (mild, moderate, or severe; specialist-confirmed with CT/MRI or clinical criteria)</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Persistent post-TBI symptoms causing functional impairment (&gt;3 months from injury for mild TBI)</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16+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TBI outcome measures (PCSS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at or near planned stimulation sites</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craniotomy (within 12 months; requires specialist review)</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haemorrhage or unstable intracranial pathology</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 and no available legal representative</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Post-TBI epilepsy or seizure history (requires neurology clearance)</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cognitive impairment limiting cooperation and consent capacity</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psychiatric comorbidity (PTSD, severe depression) requiring stabilisation first</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substance abuse</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 — check INR/platelets before session)</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Acute post-TBI phase (&lt;3 months) — use only with neurology specialist approval</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TBI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Post-Concussion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TPS frontal + taVNS + CES daily; low-intensity graduated protocol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(2 mA) + TPS frontal targeted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(daily) + taVNS (pain/autonomic) + tDCS Fpz cathode + TPS frontal (low energy); avoid temporal TPS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Behavioural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TPS orbitofrontal / temporal + taVNS + CES (behavioural regulation)</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Vestibular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 / cerebellar (Cz + C7 posterior) + TPS cranial + peripheral vestibular-cervical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 anode / Fpz cathode + TPS frontal + taVNS primary + CES daily; strict energy management</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Memory-Impaired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P3/P4 anode (temporal-parietal) + F3/F4 supportive + TPS cranial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Processing Speed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F3/F4 bilateral + Cz/FCz + TPS frontal + taVNS; pair with reaction time and speed-of-processing tasks</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