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TINNITUS</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Tinnitus (Chronic).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Tinnitus (Chronic)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TIN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TIN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Evidence Level</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Open-label</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 — INVESTIGATIONAL OFF-LABEL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 (epilepsy/depression)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 RCT</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 (anxiety/insomnia/depression)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Off-Label Disclosure: TPS (NEUROLITH®) use in Tinnitus is INVESTIGATIONAL at SOZO Brain Center. It is not CE-marked or FDA-approved for TIN. All patients must provide written informed consent inclusive of the off-label TPS disclosure.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TIN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Tinnitus (Chronic).</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TIN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This includes the off-label disclosure for all investigational modalities used in Tinnitus treatment.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Tinnitus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auditory cortex and DLPFC modulation for tinnitus suppression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Emerging — auditory-vagal pathway modulation (paired VNS protocol)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Cleared for anxiety/insomnia; supportive for tinnitus distress component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TIN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Tinnitus loudness (perceived intensity)</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Tinnitus distress (emotional impact)</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Intrusiveness (interruption of daily activities)</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Sound sensitivity (hyperacusis / misophonia)</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Concentration impact</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Severity in quiet environments</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Perceived hearing difficulty</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Effectiveness of masking / sound therapy</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onset difficulty</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maintenance problems</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Depression / low mood</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Anxiety / worry</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Irritability</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Social avoidance (due to tinnitus)</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Work / occupational impact</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Ability to relax</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Tonal, Noise-Like, Pulsatile, Reactive, Somatic, Hyperacusis-Dominant, Depression Comorbid, Insomnia Comorbid, or Anxiety Comorbid.</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TIN: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Tonal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Primary auditory cortex hyperactivation, tonotopic map reorganisation, SN amplification</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Noise-Like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Diffuse auditory network hyperactivation, SN-auditory overcoupling</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Pulsatile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Vascular-auditory coupling; SN sensitisation to rhythmic input — vascular origin must be ruled out</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Reactive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hyperresponsivity (sound-triggered amplification), LIMBIC-auditory coupling</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Somatic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Somatosensory-auditory cross-modal interaction (SMN-auditory network), cervical/jaw involvement</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Hyperacusis-Dominant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threshold dysregulation, central auditory gain amplification, LIMBIC threat coupling</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Depression Comorbid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 hyperactivation + CEN hypofunction + DMN rumination on tinnitus signal</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Insomnia Comorbid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hyperarousal + LIMBIC-auditory coupling preventing sleep-onset inhibition</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(TIN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current medications (sound therapy devices in use, anxiolytics, antidepressants) — dose, timing; note tinnitus loudness rating for today</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(tinnitus-related medications and sound therapy adherence, timing of last dose)</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T3/TP7 cathode (L auditory cortex)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Auditory cortex downregulation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Sound therapy / notched music listening during stimulation</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T3 cathode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Attention retraining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Tinnitus retraining therapy (TRT) attention exercises; mindfulness of external sounds</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F3/F4 bilateral DLPFC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Distress / emotional response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 restructuring exercises; acceptance and commitment therapy (ACT) audio</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Fpz / F3 cathode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Anxiety / sleep preparation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Relaxation response training; progressive muscle relaxation; slow breathing</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taVNS + CES combined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Auditory-vagal and arousal</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Paired VNS sound protocol (target tone presentation) + relaxation</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Loudness / Intrusiveness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reduction in tinnitus loudness or intrusiveness (PRS) + THI score improvement</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Distress / Emotional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Reduction in tinnitus-related distress (PRS) and improvement in emotional response to tinnitus</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Improvement in sleep onset latency and sleep maintenance (PRS) with reduced nocturnal tinnitus interference</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Function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Better daily living function, reduced social avoidance, improved work performance (patient-reported)</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Tinnitus perception fluctuates with fatigue, stress, and ambient noise exposure. Standardise assessment conditions between baseline and follow-up — same time of day, same quiet environment, same rating method. Document acoustic environment changes, noise exposure events, or significant stress changes that may confound SOZO PRS comparison.</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chronic tinnitus (duration ≥3 months; audiological assessment completed)</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Tinnitus causing functional distress or impairment (THI moderate or above, or PRS score ≥4)</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18+ years</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 protocol</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(including TPS off-label disclosure)</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tinnitus outcome measures (THI or equivalent)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 (stimulation near cochlea path — requires specialist review)</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tumour</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Epilepsy or seizure history</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Meniere's disease or vestibular disorder (requires ENT clearance)</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hyperacusis with inability to tolerate any environmental sound during session</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Dermatological conditions at electrode sites</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severe depression or suicidal ideation (requires psychiatric clearance first)</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Pulsatile tinnitus of vascular origin (requires vascular investigation before stimulation)</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TIN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Tonal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T3/TP7 cathode (L auditory cortex inhibition) + F3 anode (DLPFC up) + TPS temporal + taVNS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Noise-Like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T3/TP7 + F3/F4 bilateral + TPS bilateral temporal + taVNS + CES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Pulsatile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Specialist vascular review first; if cleared: tDCS F3/F4 + TPS frontal + taVNS; avoid temporal TPS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Reactive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T3 cathode + TPS temporal (low energy) + taVNS primary + CES daily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Somatic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C3/C4 + Cz (somatosensory-auditory) + TPS temporal + peripheral cervical/jaw + taVNS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Hyperacusis-Dominant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CES primary (daily) + taVNS primary + tDCS T3 cathode / F3 anode; TPS deferred until hyperacusis reduced</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Depression Comorbid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F4 cathode (L-DLPFC up) + TPS frontal + taVNS + CES daily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Insomnia Comorbid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tDCS Fpz cathode / F3 anode + TPS frontal + taVNS (pre-sleep) + CES primary (pre-sleep)</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