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A5C"/>
          <w:sz w:val="36"/>
        </w:rPr>
        <w:t>SOZO BRAIN CENTER</w:t>
      </w:r>
    </w:p>
    <w:p>
      <w:pPr>
        <w:spacing w:after="240"/>
        <w:jc w:val="center"/>
      </w:pPr>
      <w:r>
        <w:rPr>
          <w:rFonts w:ascii="Calibri" w:hAnsi="Calibri"/>
          <w:i/>
          <w:color w:val="2E75B6"/>
          <w:sz w:val="22"/>
        </w:rPr>
        <w:t>Evidence-Based Neuromodulation</w:t>
      </w:r>
    </w:p>
    <w:p>
      <w:pPr>
        <w:pBdr>
          <w:bottom w:val="single" w:sz="6" w:space="1" w:color="2E75B6"/>
        </w:pBdr>
        <w:spacing w:after="120"/>
      </w:pPr>
    </w:p>
    <w:p>
      <w:pPr>
        <w:spacing w:before="240" w:after="80"/>
        <w:jc w:val="center"/>
      </w:pPr>
      <w:r>
        <w:rPr>
          <w:rFonts w:ascii="Calibri" w:hAnsi="Calibri"/>
          <w:b/>
          <w:color w:val="1B3A5C"/>
          <w:sz w:val="32"/>
        </w:rPr>
        <w:t>PARKINSON'S DISEASE</w:t>
      </w:r>
    </w:p>
    <w:p>
      <w:pPr>
        <w:spacing w:after="160"/>
        <w:jc w:val="center"/>
      </w:pPr>
      <w:r>
        <w:rPr>
          <w:rFonts w:ascii="Calibri" w:hAnsi="Calibri"/>
          <w:b/>
          <w:color w:val="2E75B6"/>
          <w:sz w:val="28"/>
        </w:rPr>
        <w:t>SOZO Evidence-Based Protocol — Parkinson's Disease</w:t>
      </w:r>
    </w:p>
    <w:p>
      <w:pPr>
        <w:jc w:val="center"/>
      </w:pPr>
      <w:r>
        <w:rPr>
          <w:rFonts w:ascii="Calibri" w:hAnsi="Calibri"/>
          <w:b/>
          <w:color w:val="CC0000"/>
          <w:sz w:val="22"/>
        </w:rPr>
        <w:t>FELLOW TIER</w:t>
      </w:r>
    </w:p>
    <w:p>
      <w:pPr>
        <w:spacing w:after="160"/>
        <w:jc w:val="center"/>
      </w:pPr>
      <w:r>
        <w:rPr>
          <w:rFonts w:ascii="Calibri" w:hAnsi="Calibri"/>
          <w:i/>
          <w:color w:val="2E75B6"/>
          <w:sz w:val="20"/>
        </w:rPr>
        <w:t>For use by SOZO Fellow clinicians under Doctor supervision</w:t>
      </w:r>
    </w:p>
    <w:p>
      <w:pPr>
        <w:jc w:val="center"/>
      </w:pPr>
      <w:r>
        <w:rPr>
          <w:rFonts w:ascii="Calibri" w:hAnsi="Calibri"/>
          <w:color w:val="666666"/>
          <w:sz w:val="18"/>
        </w:rPr>
        <w:t>Version 1.0  |  April 2026</w:t>
      </w:r>
    </w:p>
    <w:p>
      <w:pPr>
        <w:spacing w:after="320"/>
        <w:jc w:val="center"/>
      </w:pPr>
      <w:r>
        <w:rPr>
          <w:rFonts w:ascii="Calibri" w:hAnsi="Calibri"/>
          <w:b/>
          <w:color w:val="CC0000"/>
          <w:sz w:val="18"/>
        </w:rPr>
        <w:t>CONFIDENTIAL</w:t>
      </w:r>
    </w:p>
    <w:p>
      <w:pPr>
        <w:pBdr>
          <w:bottom w:val="single" w:sz="6" w:space="1" w:color="996600"/>
        </w:pBdr>
        <w:spacing w:after="120"/>
      </w:pPr>
    </w:p>
    <w:p/>
    <w:p>
      <w:pPr>
        <w:spacing w:before="240" w:after="80"/>
      </w:pPr>
      <w:r>
        <w:rPr>
          <w:rFonts w:ascii="Calibri" w:hAnsi="Calibri"/>
          <w:b/>
          <w:color w:val="1B3A5C"/>
          <w:sz w:val="28"/>
        </w:rPr>
        <w:t>Document Control &amp; Clinical Responsibility</w:t>
      </w:r>
    </w:p>
    <w:p>
      <w:pPr>
        <w:pBdr>
          <w:bottom w:val="single" w:sz="6" w:space="1" w:color="2E75B6"/>
        </w:pBdr>
        <w:spacing w:after="120"/>
      </w:pPr>
    </w:p>
    <w:p>
      <w:pPr>
        <w:spacing w:before="40" w:after="40"/>
      </w:pPr>
      <w:r>
        <w:rPr>
          <w:rFonts w:ascii="Calibri" w:hAnsi="Calibri"/>
          <w:color w:val="000000"/>
          <w:sz w:val="22"/>
        </w:rPr>
        <w:t>Organization: SOZO Brain Center. All protocols are for authorized SOZO personnel only. No Fellow or Clinical Assistant may independently modify treatment protocols without Doctor authorization.</w:t>
      </w:r>
    </w:p>
    <w:p>
      <w:pPr>
        <w:spacing w:before="40" w:after="40"/>
      </w:pPr>
      <w:r>
        <w:rPr>
          <w:rFonts w:ascii="Calibri" w:hAnsi="Calibri"/>
          <w:color w:val="000000"/>
          <w:sz w:val="22"/>
        </w:rPr>
        <w:t>Organization: SOZO Brain Center</w:t>
      </w:r>
    </w:p>
    <w:p>
      <w:pPr>
        <w:spacing w:before="40" w:after="40"/>
      </w:pPr>
      <w:r>
        <w:rPr>
          <w:rFonts w:ascii="Calibri" w:hAnsi="Calibri"/>
          <w:color w:val="000000"/>
          <w:sz w:val="22"/>
        </w:rPr>
        <w:t>Condition: Parkinson's Disease (G20)</w:t>
      </w:r>
    </w:p>
    <w:p>
      <w:pPr>
        <w:spacing w:before="40" w:after="40"/>
      </w:pPr>
      <w:r>
        <w:rPr>
          <w:rFonts w:ascii="Calibri" w:hAnsi="Calibri"/>
          <w:color w:val="000000"/>
          <w:sz w:val="22"/>
        </w:rPr>
        <w:t>Version: 1.0</w:t>
      </w:r>
    </w:p>
    <w:p>
      <w:pPr>
        <w:spacing w:before="40" w:after="40"/>
      </w:pPr>
      <w:r>
        <w:rPr>
          <w:rFonts w:ascii="Calibri" w:hAnsi="Calibri"/>
          <w:color w:val="000000"/>
          <w:sz w:val="22"/>
        </w:rPr>
        <w:t>Date: April 2026</w:t>
      </w:r>
    </w:p>
    <w:p>
      <w:pPr>
        <w:spacing w:before="40" w:after="40"/>
      </w:pPr>
      <w:r>
        <w:rPr>
          <w:rFonts w:ascii="Calibri" w:hAnsi="Calibri"/>
          <w:color w:val="000000"/>
          <w:sz w:val="22"/>
        </w:rPr>
        <w:t>Tier: FELLOW</w:t>
      </w:r>
    </w:p>
    <w:p>
      <w:pPr>
        <w:spacing w:before="40" w:after="40"/>
      </w:pPr>
      <w:r>
        <w:rPr>
          <w:rFonts w:ascii="Calibri" w:hAnsi="Calibri"/>
          <w:color w:val="000000"/>
          <w:sz w:val="22"/>
        </w:rPr>
        <w:t>For use by SOZO Fellow clinicians under Doctor supervision</w:t>
      </w:r>
    </w:p>
    <w:p>
      <w:pPr>
        <w:spacing w:before="40" w:after="40"/>
      </w:pPr>
      <w:r>
        <w:rPr>
          <w:rFonts w:ascii="Calibri" w:hAnsi="Calibri"/>
          <w:color w:val="000000"/>
          <w:sz w:val="22"/>
        </w:rPr>
        <w:t>© 2026 SOZO Brain Center. All rights reserved. CONFIDENTIAL.</w:t>
      </w:r>
    </w:p>
    <w:p>
      <w:pPr>
        <w:spacing w:before="40" w:after="40"/>
      </w:pPr>
      <w:r>
        <w:rPr>
          <w:rFonts w:ascii="Calibri" w:hAnsi="Calibri"/>
          <w:b/>
          <w:color w:val="1B3A5C"/>
          <w:sz w:val="22"/>
        </w:rPr>
        <w:t>GOVERNANCE RULE: This document is for authorized SOZO personnel only. No Fellow or Clinical Assistant may independently modify treatment protocols without Doctor authorization.</w:t>
      </w:r>
    </w:p>
    <w:p>
      <w:pPr>
        <w:spacing w:before="40" w:after="40"/>
      </w:pPr>
      <w:r>
        <w:rPr>
          <w:rFonts w:ascii="Calibri" w:hAnsi="Calibri"/>
          <w:color w:val="000000"/>
          <w:sz w:val="22"/>
        </w:rPr>
        <w:t>Parkinson's Disease</w:t>
      </w:r>
    </w:p>
    <w:p>
      <w:pPr>
        <w:spacing w:before="40" w:after="40"/>
      </w:pPr>
      <w:r>
        <w:rPr>
          <w:rFonts w:ascii="Calibri" w:hAnsi="Calibri"/>
          <w:color w:val="000000"/>
          <w:sz w:val="22"/>
        </w:rPr>
        <w:t>G20</w:t>
      </w:r>
    </w:p>
    <w:p>
      <w:pPr>
        <w:spacing w:before="40" w:after="40"/>
      </w:pPr>
      <w:r>
        <w:rPr>
          <w:rFonts w:ascii="Calibri" w:hAnsi="Calibri"/>
          <w:color w:val="000000"/>
          <w:sz w:val="22"/>
        </w:rPr>
        <w:t>1.0</w:t>
      </w:r>
    </w:p>
    <w:p>
      <w:pPr>
        <w:spacing w:after="120"/>
      </w:pPr>
    </w:p>
    <w:p>
      <w:pPr>
        <w:spacing w:before="240" w:after="80"/>
      </w:pPr>
      <w:r>
        <w:rPr>
          <w:rFonts w:ascii="Calibri" w:hAnsi="Calibri"/>
          <w:b/>
          <w:color w:val="1B3A5C"/>
          <w:sz w:val="28"/>
        </w:rPr>
        <w:t>Inclusion &amp; Exclusion Criteria</w:t>
      </w:r>
    </w:p>
    <w:p>
      <w:pPr>
        <w:pBdr>
          <w:bottom w:val="single" w:sz="6" w:space="1" w:color="2E75B6"/>
        </w:pBdr>
        <w:spacing w:after="120"/>
      </w:pPr>
    </w:p>
    <w:p>
      <w:pPr>
        <w:spacing w:before="160" w:after="80"/>
      </w:pPr>
      <w:r>
        <w:rPr>
          <w:rFonts w:ascii="Calibri" w:hAnsi="Calibri"/>
          <w:b/>
          <w:color w:val="2E75B6"/>
          <w:sz w:val="24"/>
        </w:rPr>
        <w:t>Inclusion Criteria</w:t>
      </w:r>
    </w:p>
    <w:p>
      <w:pPr>
        <w:pStyle w:val="ListBullet"/>
        <w:spacing w:before="40" w:after="40"/>
      </w:pPr>
      <w:r>
        <w:rPr>
          <w:rFonts w:ascii="Calibri" w:hAnsi="Calibri"/>
          <w:color w:val="000000"/>
          <w:sz w:val="22"/>
        </w:rPr>
        <w:t>Confirmed diagnosis of idiopathic PD by neurologist (UK Brain Bank criteria)</w:t>
      </w:r>
    </w:p>
    <w:p>
      <w:pPr>
        <w:pStyle w:val="ListBullet"/>
        <w:spacing w:before="40" w:after="40"/>
      </w:pPr>
      <w:r>
        <w:rPr>
          <w:rFonts w:ascii="Calibri" w:hAnsi="Calibri"/>
          <w:color w:val="000000"/>
          <w:sz w:val="22"/>
        </w:rPr>
        <w:t>Hoehn &amp; Yahr stage 1-4</w:t>
      </w:r>
    </w:p>
    <w:p>
      <w:pPr>
        <w:pStyle w:val="ListBullet"/>
        <w:spacing w:before="40" w:after="40"/>
      </w:pPr>
      <w:r>
        <w:rPr>
          <w:rFonts w:ascii="Calibri" w:hAnsi="Calibri"/>
          <w:color w:val="000000"/>
          <w:sz w:val="22"/>
        </w:rPr>
        <w:t>Stable medication regimen for &gt;=4 weeks</w:t>
      </w:r>
    </w:p>
    <w:p>
      <w:pPr>
        <w:pStyle w:val="ListBullet"/>
        <w:spacing w:before="40" w:after="40"/>
      </w:pPr>
      <w:r>
        <w:rPr>
          <w:rFonts w:ascii="Calibri" w:hAnsi="Calibri"/>
          <w:color w:val="000000"/>
          <w:sz w:val="22"/>
        </w:rPr>
        <w:t>Age 18-85 years</w:t>
      </w:r>
    </w:p>
    <w:p>
      <w:pPr>
        <w:pStyle w:val="ListBullet"/>
        <w:spacing w:before="40" w:after="40"/>
      </w:pPr>
      <w:r>
        <w:rPr>
          <w:rFonts w:ascii="Calibri" w:hAnsi="Calibri"/>
          <w:color w:val="000000"/>
          <w:sz w:val="22"/>
        </w:rPr>
        <w:t>Able to provide informed consent</w:t>
      </w:r>
    </w:p>
    <w:p>
      <w:pPr>
        <w:spacing w:after="120"/>
      </w:pPr>
    </w:p>
    <w:p>
      <w:pPr>
        <w:spacing w:before="160" w:after="80"/>
      </w:pPr>
      <w:r>
        <w:rPr>
          <w:rFonts w:ascii="Calibri" w:hAnsi="Calibri"/>
          <w:b/>
          <w:color w:val="2E75B6"/>
          <w:sz w:val="24"/>
        </w:rPr>
        <w:t>Exclusion Criteria</w:t>
      </w:r>
    </w:p>
    <w:p>
      <w:pPr>
        <w:pStyle w:val="ListBullet"/>
        <w:spacing w:before="40" w:after="40"/>
      </w:pPr>
      <w:r>
        <w:rPr>
          <w:rFonts w:ascii="Calibri" w:hAnsi="Calibri"/>
          <w:color w:val="000000"/>
          <w:sz w:val="22"/>
        </w:rPr>
        <w:t>Deep Brain Stimulator or other implanted neurostimulation device</w:t>
      </w:r>
    </w:p>
    <w:p>
      <w:pPr>
        <w:pStyle w:val="ListBullet"/>
        <w:spacing w:before="40" w:after="40"/>
      </w:pPr>
      <w:r>
        <w:rPr>
          <w:rFonts w:ascii="Calibri" w:hAnsi="Calibri"/>
          <w:color w:val="000000"/>
          <w:sz w:val="22"/>
        </w:rPr>
        <w:t>Parkinsonism secondary to medication, stroke, or other cause</w:t>
      </w:r>
    </w:p>
    <w:p>
      <w:pPr>
        <w:pStyle w:val="ListBullet"/>
        <w:spacing w:before="40" w:after="40"/>
      </w:pPr>
      <w:r>
        <w:rPr>
          <w:rFonts w:ascii="Calibri" w:hAnsi="Calibri"/>
          <w:color w:val="000000"/>
          <w:sz w:val="22"/>
        </w:rPr>
        <w:t>Hoehn &amp; Yahr stage 5 (wheelchair-bound/bedridden)</w:t>
      </w:r>
    </w:p>
    <w:p>
      <w:pPr>
        <w:pStyle w:val="ListBullet"/>
        <w:spacing w:before="40" w:after="40"/>
      </w:pPr>
      <w:r>
        <w:rPr>
          <w:rFonts w:ascii="Calibri" w:hAnsi="Calibri"/>
          <w:color w:val="000000"/>
          <w:sz w:val="22"/>
        </w:rPr>
        <w:t>Severe dementia (MoCA &lt;10)</w:t>
      </w:r>
    </w:p>
    <w:p>
      <w:pPr>
        <w:pStyle w:val="ListBullet"/>
        <w:spacing w:before="40" w:after="40"/>
      </w:pPr>
      <w:r>
        <w:rPr>
          <w:rFonts w:ascii="Calibri" w:hAnsi="Calibri"/>
          <w:color w:val="000000"/>
          <w:sz w:val="22"/>
        </w:rPr>
        <w:t>Active psychosis or severe hallucinations</w:t>
      </w:r>
    </w:p>
    <w:p>
      <w:pPr>
        <w:spacing w:after="120"/>
      </w:pPr>
    </w:p>
    <w:p>
      <w:pPr>
        <w:spacing w:before="160" w:after="80"/>
      </w:pPr>
      <w:r>
        <w:rPr>
          <w:rFonts w:ascii="Calibri" w:hAnsi="Calibri"/>
          <w:b/>
          <w:color w:val="2E75B6"/>
          <w:sz w:val="24"/>
        </w:rPr>
        <w:t>Absolute Contraindications</w:t>
      </w:r>
    </w:p>
    <w:p>
      <w:pPr>
        <w:pStyle w:val="ListBullet"/>
        <w:spacing w:before="40" w:after="40"/>
      </w:pPr>
      <w:r>
        <w:rPr>
          <w:rFonts w:ascii="Calibri" w:hAnsi="Calibri"/>
          <w:color w:val="000000"/>
          <w:sz w:val="22"/>
        </w:rPr>
        <w:t>Deep Brain Stimulator (DBS) implanted</w:t>
      </w:r>
    </w:p>
    <w:p>
      <w:pPr>
        <w:pStyle w:val="ListBullet"/>
        <w:spacing w:before="40" w:after="40"/>
      </w:pPr>
      <w:r>
        <w:rPr>
          <w:rFonts w:ascii="Calibri" w:hAnsi="Calibri"/>
          <w:color w:val="000000"/>
          <w:sz w:val="22"/>
        </w:rPr>
        <w:t>Active seizure disorder or epilepsy</w:t>
      </w:r>
    </w:p>
    <w:p>
      <w:pPr>
        <w:pStyle w:val="ListBullet"/>
        <w:spacing w:before="40" w:after="40"/>
      </w:pPr>
      <w:r>
        <w:rPr>
          <w:rFonts w:ascii="Calibri" w:hAnsi="Calibri"/>
          <w:color w:val="000000"/>
          <w:sz w:val="22"/>
        </w:rPr>
        <w:t>Metallic cranial implants in stimulation path</w:t>
      </w:r>
    </w:p>
    <w:p>
      <w:pPr>
        <w:pStyle w:val="ListBullet"/>
        <w:spacing w:before="40" w:after="40"/>
      </w:pPr>
      <w:r>
        <w:rPr>
          <w:rFonts w:ascii="Calibri" w:hAnsi="Calibri"/>
          <w:color w:val="000000"/>
          <w:sz w:val="22"/>
        </w:rPr>
        <w:t>Unstable medical conditions (e.g. recent stroke &lt;3 months)</w:t>
      </w:r>
    </w:p>
    <w:p>
      <w:pPr>
        <w:pStyle w:val="ListBullet"/>
        <w:spacing w:before="40" w:after="40"/>
      </w:pPr>
      <w:r>
        <w:rPr>
          <w:rFonts w:ascii="Calibri" w:hAnsi="Calibri"/>
          <w:color w:val="000000"/>
          <w:sz w:val="22"/>
        </w:rPr>
        <w:t>Pregnancy</w:t>
      </w:r>
    </w:p>
    <w:p>
      <w:pPr>
        <w:spacing w:after="120"/>
      </w:pPr>
    </w:p>
    <w:p>
      <w:pPr>
        <w:spacing w:after="120"/>
      </w:pPr>
    </w:p>
    <w:p>
      <w:pPr>
        <w:spacing w:before="240" w:after="80"/>
      </w:pPr>
      <w:r>
        <w:rPr>
          <w:rFonts w:ascii="Calibri" w:hAnsi="Calibri"/>
          <w:b/>
          <w:color w:val="1B3A5C"/>
          <w:sz w:val="28"/>
        </w:rPr>
        <w:t>Clinical Overview</w:t>
      </w:r>
    </w:p>
    <w:p>
      <w:pPr>
        <w:pBdr>
          <w:bottom w:val="single" w:sz="6" w:space="1" w:color="2E75B6"/>
        </w:pBdr>
        <w:spacing w:after="120"/>
      </w:pPr>
    </w:p>
    <w:p>
      <w:pPr>
        <w:spacing w:before="40" w:after="40"/>
      </w:pPr>
      <w:r>
        <w:rPr>
          <w:rFonts w:ascii="Calibri" w:hAnsi="Calibri"/>
          <w:color w:val="000000"/>
          <w:sz w:val="22"/>
        </w:rPr>
        <w:t>This section provides a clinical overview including epidemiology, diagnostic criteria, disease burden, and relevance to non-invasive neuromodulation treatment at SOZO Brain Center.</w:t>
      </w:r>
    </w:p>
    <w:p>
      <w:pPr>
        <w:spacing w:before="40" w:after="40"/>
      </w:pPr>
      <w:r>
        <w:rPr>
          <w:rFonts w:ascii="Calibri" w:hAnsi="Calibri"/>
          <w:color w:val="000000"/>
          <w:sz w:val="22"/>
        </w:rPr>
        <w:t>Parkinson's Disease (PD) is a progressive neurodegenerative disorder characterized primarily by motor symptoms including bradykinesia, resting tremor, rigidity, and postural instability, arising from the degeneration of dopaminergic neurons in the substantia nigra pars compacta and subsequent dysfunction of the basal ganglia thalamocortical circuit. PD is the second most common neurodegenerative disorder after Alzheimer's disease, affecting approximately 1-2% of the population over 60 years of age. Non-motor symptoms — including cognitive impairment, depression, anxiety, autonomic dysfunction, sleep disorders, and fatigue — are highly prevalent and significantly impact quality of life.</w:t>
      </w:r>
    </w:p>
    <w:p>
      <w:pPr>
        <w:spacing w:after="120"/>
      </w:pPr>
    </w:p>
    <w:p>
      <w:pPr>
        <w:spacing w:before="240" w:after="80"/>
      </w:pPr>
      <w:r>
        <w:rPr>
          <w:rFonts w:ascii="Calibri" w:hAnsi="Calibri"/>
          <w:b/>
          <w:color w:val="1B3A5C"/>
          <w:sz w:val="28"/>
        </w:rPr>
        <w:t>Pathophysiology</w:t>
      </w:r>
    </w:p>
    <w:p>
      <w:pPr>
        <w:pBdr>
          <w:bottom w:val="single" w:sz="6" w:space="1" w:color="2E75B6"/>
        </w:pBdr>
        <w:spacing w:after="120"/>
      </w:pPr>
    </w:p>
    <w:p>
      <w:pPr>
        <w:spacing w:before="40" w:after="40"/>
      </w:pPr>
      <w:r>
        <w:rPr>
          <w:rFonts w:ascii="Calibri" w:hAnsi="Calibri"/>
          <w:color w:val="000000"/>
          <w:sz w:val="22"/>
        </w:rPr>
        <w:t>PD pathophysiology involves the progressive loss of dopaminergic neurons in the substantia nigra pars compacta (SNpc), leading to dopamine depletion in the striatum (caudate nucleus and putamen). This disrupts the balance of direct and indirect pathways in the basal ganglia-thalamocortical circuit, resulting in reduced thalamo-cortical drive and impaired voluntary movement initiation.</w:t>
      </w:r>
    </w:p>
    <w:p>
      <w:pPr>
        <w:spacing w:before="40" w:after="40"/>
      </w:pPr>
      <w:r>
        <w:rPr>
          <w:rFonts w:ascii="Calibri" w:hAnsi="Calibri"/>
          <w:color w:val="000000"/>
          <w:sz w:val="22"/>
        </w:rPr>
        <w:t>Lewy body pathology (alpha-synuclein aggregation) spreads through the nervous system in a staging pattern (Braak stages 1-6), with early involvement of the dorsal motor nucleus of the vagus nerve and olfactory bulb, progressing to substantia nigra (Stage 3-4) and eventually neocortex (Stage 5-6).</w:t>
      </w:r>
    </w:p>
    <w:p>
      <w:pPr>
        <w:spacing w:before="40" w:after="40"/>
      </w:pPr>
      <w:r>
        <w:rPr>
          <w:rFonts w:ascii="Calibri" w:hAnsi="Calibri"/>
          <w:color w:val="000000"/>
          <w:sz w:val="22"/>
        </w:rPr>
        <w:t>Neuroinflammation, mitochondrial dysfunction, oxidative stress, and impaired protein clearance (ubiquitin-proteasome system, autophagy) are implicated in neuronal death. Non-motor symptoms reflect pathology beyond the nigrostriatal system: cortical Lewy bodies contribute to cognitive decline; serotonergic and noradrenergic depletion underpins depression and anxiety; hypothalamic and autonomic nervous system involvement drives autonomic symptoms.</w:t>
      </w:r>
    </w:p>
    <w:p>
      <w:pPr>
        <w:spacing w:before="160" w:after="80"/>
      </w:pPr>
      <w:r>
        <w:rPr>
          <w:rFonts w:ascii="Calibri" w:hAnsi="Calibri"/>
          <w:b/>
          <w:color w:val="2E75B6"/>
          <w:sz w:val="24"/>
        </w:rPr>
        <w:t>Core Symptoms</w:t>
      </w:r>
    </w:p>
    <w:p>
      <w:pPr>
        <w:pStyle w:val="ListBullet"/>
        <w:spacing w:before="40" w:after="40"/>
      </w:pPr>
      <w:r>
        <w:rPr>
          <w:rFonts w:ascii="Calibri" w:hAnsi="Calibri"/>
          <w:color w:val="000000"/>
          <w:sz w:val="22"/>
        </w:rPr>
        <w:t>Bradykinesia (slowness of movement) — cardinal symptom required for diagnosis</w:t>
      </w:r>
    </w:p>
    <w:p>
      <w:pPr>
        <w:pStyle w:val="ListBullet"/>
        <w:spacing w:before="40" w:after="40"/>
      </w:pPr>
      <w:r>
        <w:rPr>
          <w:rFonts w:ascii="Calibri" w:hAnsi="Calibri"/>
          <w:color w:val="000000"/>
          <w:sz w:val="22"/>
        </w:rPr>
        <w:t>Resting tremor (4-6 Hz, pill-rolling character) — present in ~70% of patients</w:t>
      </w:r>
    </w:p>
    <w:p>
      <w:pPr>
        <w:pStyle w:val="ListBullet"/>
        <w:spacing w:before="40" w:after="40"/>
      </w:pPr>
      <w:r>
        <w:rPr>
          <w:rFonts w:ascii="Calibri" w:hAnsi="Calibri"/>
          <w:color w:val="000000"/>
          <w:sz w:val="22"/>
        </w:rPr>
        <w:t>Rigidity (cogwheel or lead-pipe) — increased tone throughout range of movement</w:t>
      </w:r>
    </w:p>
    <w:p>
      <w:pPr>
        <w:pStyle w:val="ListBullet"/>
        <w:spacing w:before="40" w:after="40"/>
      </w:pPr>
      <w:r>
        <w:rPr>
          <w:rFonts w:ascii="Calibri" w:hAnsi="Calibri"/>
          <w:color w:val="000000"/>
          <w:sz w:val="22"/>
        </w:rPr>
        <w:t>Postural instability — late feature, significant fall risk</w:t>
      </w:r>
    </w:p>
    <w:p>
      <w:pPr>
        <w:pStyle w:val="ListBullet"/>
        <w:spacing w:before="40" w:after="40"/>
      </w:pPr>
      <w:r>
        <w:rPr>
          <w:rFonts w:ascii="Calibri" w:hAnsi="Calibri"/>
          <w:color w:val="000000"/>
          <w:sz w:val="22"/>
        </w:rPr>
        <w:t>Freezing of gait (FOG) — sudden, transient inability to initiate steps</w:t>
      </w:r>
    </w:p>
    <w:p>
      <w:pPr>
        <w:pStyle w:val="ListBullet"/>
        <w:spacing w:before="40" w:after="40"/>
      </w:pPr>
      <w:r>
        <w:rPr>
          <w:rFonts w:ascii="Calibri" w:hAnsi="Calibri"/>
          <w:color w:val="000000"/>
          <w:sz w:val="22"/>
        </w:rPr>
        <w:t>Hypomimia (reduced facial expression)</w:t>
      </w:r>
    </w:p>
    <w:p>
      <w:pPr>
        <w:pStyle w:val="ListBullet"/>
        <w:spacing w:before="40" w:after="40"/>
      </w:pPr>
      <w:r>
        <w:rPr>
          <w:rFonts w:ascii="Calibri" w:hAnsi="Calibri"/>
          <w:color w:val="000000"/>
          <w:sz w:val="22"/>
        </w:rPr>
        <w:t>Hypophonia and dysarthria</w:t>
      </w:r>
    </w:p>
    <w:p>
      <w:pPr>
        <w:pStyle w:val="ListBullet"/>
        <w:spacing w:before="40" w:after="40"/>
      </w:pPr>
      <w:r>
        <w:rPr>
          <w:rFonts w:ascii="Calibri" w:hAnsi="Calibri"/>
          <w:color w:val="000000"/>
          <w:sz w:val="22"/>
        </w:rPr>
        <w:t>Micrographia</w:t>
      </w:r>
    </w:p>
    <w:p>
      <w:pPr>
        <w:spacing w:after="120"/>
      </w:pPr>
    </w:p>
    <w:p>
      <w:pPr>
        <w:spacing w:before="160" w:after="80"/>
      </w:pPr>
      <w:r>
        <w:rPr>
          <w:rFonts w:ascii="Calibri" w:hAnsi="Calibri"/>
          <w:b/>
          <w:color w:val="2E75B6"/>
          <w:sz w:val="24"/>
        </w:rPr>
        <w:t>Non-Motor Symptoms</w:t>
      </w:r>
    </w:p>
    <w:p>
      <w:pPr>
        <w:pStyle w:val="ListBullet"/>
        <w:spacing w:before="40" w:after="40"/>
      </w:pPr>
      <w:r>
        <w:rPr>
          <w:rFonts w:ascii="Calibri" w:hAnsi="Calibri"/>
          <w:color w:val="000000"/>
          <w:sz w:val="22"/>
        </w:rPr>
        <w:t>Cognitive impairment and dementia (PD-MCI in 25-30%; PDD in 80% at 20 years)</w:t>
      </w:r>
    </w:p>
    <w:p>
      <w:pPr>
        <w:pStyle w:val="ListBullet"/>
        <w:spacing w:before="40" w:after="40"/>
      </w:pPr>
      <w:r>
        <w:rPr>
          <w:rFonts w:ascii="Calibri" w:hAnsi="Calibri"/>
          <w:color w:val="000000"/>
          <w:sz w:val="22"/>
        </w:rPr>
        <w:t>Depression (prevalence 40-50%)</w:t>
      </w:r>
    </w:p>
    <w:p>
      <w:pPr>
        <w:pStyle w:val="ListBullet"/>
        <w:spacing w:before="40" w:after="40"/>
      </w:pPr>
      <w:r>
        <w:rPr>
          <w:rFonts w:ascii="Calibri" w:hAnsi="Calibri"/>
          <w:color w:val="000000"/>
          <w:sz w:val="22"/>
        </w:rPr>
        <w:t>Anxiety (prevalence 30-40%)</w:t>
      </w:r>
    </w:p>
    <w:p>
      <w:pPr>
        <w:pStyle w:val="ListBullet"/>
        <w:spacing w:before="40" w:after="40"/>
      </w:pPr>
      <w:r>
        <w:rPr>
          <w:rFonts w:ascii="Calibri" w:hAnsi="Calibri"/>
          <w:color w:val="000000"/>
          <w:sz w:val="22"/>
        </w:rPr>
        <w:t>Apathy (prevalence 40%)</w:t>
      </w:r>
    </w:p>
    <w:p>
      <w:pPr>
        <w:pStyle w:val="ListBullet"/>
        <w:spacing w:before="40" w:after="40"/>
      </w:pPr>
      <w:r>
        <w:rPr>
          <w:rFonts w:ascii="Calibri" w:hAnsi="Calibri"/>
          <w:color w:val="000000"/>
          <w:sz w:val="22"/>
        </w:rPr>
        <w:t>REM sleep behaviour disorder (RBD) — prodromal marker</w:t>
      </w:r>
    </w:p>
    <w:p>
      <w:pPr>
        <w:pStyle w:val="ListBullet"/>
        <w:spacing w:before="40" w:after="40"/>
      </w:pPr>
      <w:r>
        <w:rPr>
          <w:rFonts w:ascii="Calibri" w:hAnsi="Calibri"/>
          <w:color w:val="000000"/>
          <w:sz w:val="22"/>
        </w:rPr>
        <w:t>Autonomic dysfunction (orthostatic hypotension, constipation, urinary urgency)</w:t>
      </w:r>
    </w:p>
    <w:p>
      <w:pPr>
        <w:pStyle w:val="ListBullet"/>
        <w:spacing w:before="40" w:after="40"/>
      </w:pPr>
      <w:r>
        <w:rPr>
          <w:rFonts w:ascii="Calibri" w:hAnsi="Calibri"/>
          <w:color w:val="000000"/>
          <w:sz w:val="22"/>
        </w:rPr>
        <w:t>Olfactory dysfunction (anosmia — early prodromal feature)</w:t>
      </w:r>
    </w:p>
    <w:p>
      <w:pPr>
        <w:pStyle w:val="ListBullet"/>
        <w:spacing w:before="40" w:after="40"/>
      </w:pPr>
      <w:r>
        <w:rPr>
          <w:rFonts w:ascii="Calibri" w:hAnsi="Calibri"/>
          <w:color w:val="000000"/>
          <w:sz w:val="22"/>
        </w:rPr>
        <w:t>Pain and sensory disturbances (40-85%)</w:t>
      </w:r>
    </w:p>
    <w:p>
      <w:pPr>
        <w:pStyle w:val="ListBullet"/>
        <w:spacing w:before="40" w:after="40"/>
      </w:pPr>
      <w:r>
        <w:rPr>
          <w:rFonts w:ascii="Calibri" w:hAnsi="Calibri"/>
          <w:color w:val="000000"/>
          <w:sz w:val="22"/>
        </w:rPr>
        <w:t>Fatigue</w:t>
      </w:r>
    </w:p>
    <w:p>
      <w:pPr>
        <w:pStyle w:val="ListBullet"/>
        <w:spacing w:before="40" w:after="40"/>
      </w:pPr>
      <w:r>
        <w:rPr>
          <w:rFonts w:ascii="Calibri" w:hAnsi="Calibri"/>
          <w:color w:val="000000"/>
          <w:sz w:val="22"/>
        </w:rPr>
        <w:t>Psychosis and hallucinations (dopaminergic treatment effect + disease progression)</w:t>
      </w:r>
    </w:p>
    <w:p>
      <w:pPr>
        <w:pStyle w:val="ListBullet"/>
        <w:spacing w:before="40" w:after="40"/>
      </w:pPr>
      <w:r>
        <w:rPr>
          <w:rFonts w:ascii="Calibri" w:hAnsi="Calibri"/>
          <w:color w:val="000000"/>
          <w:sz w:val="22"/>
        </w:rPr>
        <w:t>Impulse control disorders (dopamine agonist-related)</w:t>
      </w:r>
    </w:p>
    <w:p>
      <w:pPr>
        <w:spacing w:after="120"/>
      </w:pPr>
    </w:p>
    <w:p>
      <w:pPr>
        <w:spacing w:after="120"/>
      </w:pPr>
    </w:p>
    <w:p>
      <w:pPr>
        <w:spacing w:before="240" w:after="80"/>
      </w:pPr>
      <w:r>
        <w:rPr>
          <w:rFonts w:ascii="Calibri" w:hAnsi="Calibri"/>
          <w:b/>
          <w:color w:val="1B3A5C"/>
          <w:sz w:val="28"/>
        </w:rPr>
        <w:t>Key Brain Structures &amp; Neuroanatomy</w:t>
      </w:r>
    </w:p>
    <w:p>
      <w:pPr>
        <w:pBdr>
          <w:bottom w:val="single" w:sz="6" w:space="1" w:color="2E75B6"/>
        </w:pBdr>
        <w:spacing w:after="120"/>
      </w:pPr>
    </w:p>
    <w:p>
      <w:pPr>
        <w:spacing w:before="40" w:after="40"/>
      </w:pPr>
      <w:r>
        <w:rPr>
          <w:rFonts w:ascii="Calibri" w:hAnsi="Calibri"/>
          <w:color w:val="000000"/>
          <w:sz w:val="22"/>
        </w:rPr>
        <w:t>The following brain structures are most relevant to Parkinson's Disease pathophysiology and represent primary or secondary targets for neuromodulation.</w:t>
      </w:r>
    </w:p>
    <w:tbl>
      <w:tblPr>
        <w:tblStyle w:val="TableGrid"/>
        <w:tblW w:type="auto" w:w="0"/>
        <w:jc w:val="left"/>
        <w:tblLook w:firstColumn="1" w:firstRow="1" w:lastColumn="0" w:lastRow="0" w:noHBand="0" w:noVBand="1" w:val="04A0"/>
      </w:tblPr>
      <w:tblGrid>
        <w:gridCol w:w="4513"/>
        <w:gridCol w:w="4513"/>
      </w:tblGrid>
      <w:tr>
        <w:tc>
          <w:tcPr>
            <w:tcW w:type="dxa" w:w="4513"/>
            <w:shd w:val="clear" w:color="auto" w:fill="1B3A5C"/>
            <w:vAlign w:val="center"/>
          </w:tcPr>
          <w:p>
            <w:pPr>
              <w:spacing w:before="60" w:after="60"/>
              <w:jc w:val="left"/>
            </w:pPr>
            <w:r>
              <w:rPr>
                <w:rFonts w:ascii="Calibri" w:hAnsi="Calibri"/>
                <w:b/>
                <w:color w:val="FFFFFF"/>
                <w:sz w:val="20"/>
              </w:rPr>
              <w:t>Brain Region</w:t>
            </w:r>
          </w:p>
        </w:tc>
        <w:tc>
          <w:tcPr>
            <w:tcW w:type="dxa" w:w="4513"/>
            <w:shd w:val="clear" w:color="auto" w:fill="1B3A5C"/>
            <w:vAlign w:val="center"/>
          </w:tcPr>
          <w:p>
            <w:pPr>
              <w:spacing w:before="60" w:after="60"/>
              <w:jc w:val="left"/>
            </w:pPr>
            <w:r>
              <w:rPr>
                <w:rFonts w:ascii="Calibri" w:hAnsi="Calibri"/>
                <w:b/>
                <w:color w:val="FFFFFF"/>
                <w:sz w:val="20"/>
              </w:rPr>
              <w:t>Functional Role &amp; Relevance</w:t>
            </w:r>
          </w:p>
        </w:tc>
      </w:tr>
      <w:tr>
        <w:tc>
          <w:tcPr>
            <w:tcW w:type="dxa" w:w="4513"/>
            <w:shd w:val="clear" w:color="auto" w:fill="F2F2F2"/>
          </w:tcPr>
          <w:p>
            <w:pPr>
              <w:spacing w:before="40" w:after="40"/>
            </w:pPr>
            <w:r>
              <w:rPr>
                <w:rFonts w:ascii="Calibri" w:hAnsi="Calibri"/>
                <w:sz w:val="20"/>
              </w:rPr>
              <w:t>m1</w:t>
            </w:r>
          </w:p>
        </w:tc>
        <w:tc>
          <w:tcPr>
            <w:tcW w:type="dxa" w:w="4513"/>
            <w:shd w:val="clear" w:color="auto" w:fill="F2F2F2"/>
          </w:tcPr>
          <w:p>
            <w:pPr>
              <w:spacing w:before="40" w:after="40"/>
            </w:pPr>
            <w:r>
              <w:rPr>
                <w:rFonts w:ascii="Calibri" w:hAnsi="Calibri"/>
                <w:sz w:val="20"/>
              </w:rPr>
              <w:t>Reduced activation due to impaired thalamocortical drive; primary tDCS anodal target</w:t>
            </w:r>
          </w:p>
        </w:tc>
      </w:tr>
      <w:tr>
        <w:tc>
          <w:tcPr>
            <w:tcW w:type="dxa" w:w="4513"/>
            <w:shd w:val="clear" w:color="auto" w:fill="FFFFFF"/>
          </w:tcPr>
          <w:p>
            <w:pPr>
              <w:spacing w:before="40" w:after="40"/>
            </w:pPr>
            <w:r>
              <w:rPr>
                <w:rFonts w:ascii="Calibri" w:hAnsi="Calibri"/>
                <w:sz w:val="20"/>
              </w:rPr>
              <w:t>sma</w:t>
            </w:r>
          </w:p>
        </w:tc>
        <w:tc>
          <w:tcPr>
            <w:tcW w:type="dxa" w:w="4513"/>
            <w:shd w:val="clear" w:color="auto" w:fill="FFFFFF"/>
          </w:tcPr>
          <w:p>
            <w:pPr>
              <w:spacing w:before="40" w:after="40"/>
            </w:pPr>
            <w:r>
              <w:rPr>
                <w:rFonts w:ascii="Calibri" w:hAnsi="Calibri"/>
                <w:sz w:val="20"/>
              </w:rPr>
              <w:t>Hypoactive in PD; involved in movement initiation and sequence learning</w:t>
            </w:r>
          </w:p>
        </w:tc>
      </w:tr>
      <w:tr>
        <w:tc>
          <w:tcPr>
            <w:tcW w:type="dxa" w:w="4513"/>
            <w:shd w:val="clear" w:color="auto" w:fill="F2F2F2"/>
          </w:tcPr>
          <w:p>
            <w:pPr>
              <w:spacing w:before="40" w:after="40"/>
            </w:pPr>
            <w:r>
              <w:rPr>
                <w:rFonts w:ascii="Calibri" w:hAnsi="Calibri"/>
                <w:sz w:val="20"/>
              </w:rPr>
              <w:t>dlpfc</w:t>
            </w:r>
          </w:p>
        </w:tc>
        <w:tc>
          <w:tcPr>
            <w:tcW w:type="dxa" w:w="4513"/>
            <w:shd w:val="clear" w:color="auto" w:fill="F2F2F2"/>
          </w:tcPr>
          <w:p>
            <w:pPr>
              <w:spacing w:before="40" w:after="40"/>
            </w:pPr>
            <w:r>
              <w:rPr>
                <w:rFonts w:ascii="Calibri" w:hAnsi="Calibri"/>
                <w:sz w:val="20"/>
              </w:rPr>
              <w:t>Impaired in executive and cognitive PD subtypes; target for cognitive and mood protocols</w:t>
            </w:r>
          </w:p>
        </w:tc>
      </w:tr>
      <w:tr>
        <w:tc>
          <w:tcPr>
            <w:tcW w:type="dxa" w:w="4513"/>
            <w:shd w:val="clear" w:color="auto" w:fill="FFFFFF"/>
          </w:tcPr>
          <w:p>
            <w:pPr>
              <w:spacing w:before="40" w:after="40"/>
            </w:pPr>
            <w:r>
              <w:rPr>
                <w:rFonts w:ascii="Calibri" w:hAnsi="Calibri"/>
                <w:sz w:val="20"/>
              </w:rPr>
              <w:t>acc</w:t>
            </w:r>
          </w:p>
        </w:tc>
        <w:tc>
          <w:tcPr>
            <w:tcW w:type="dxa" w:w="4513"/>
            <w:shd w:val="clear" w:color="auto" w:fill="FFFFFF"/>
          </w:tcPr>
          <w:p>
            <w:pPr>
              <w:spacing w:before="40" w:after="40"/>
            </w:pPr>
            <w:r>
              <w:rPr>
                <w:rFonts w:ascii="Calibri" w:hAnsi="Calibri"/>
                <w:sz w:val="20"/>
              </w:rPr>
              <w:t>Involved in apathy, motivation, and error monitoring</w:t>
            </w:r>
          </w:p>
        </w:tc>
      </w:tr>
      <w:tr>
        <w:tc>
          <w:tcPr>
            <w:tcW w:type="dxa" w:w="4513"/>
            <w:shd w:val="clear" w:color="auto" w:fill="F2F2F2"/>
          </w:tcPr>
          <w:p>
            <w:pPr>
              <w:spacing w:before="40" w:after="40"/>
            </w:pPr>
            <w:r>
              <w:rPr>
                <w:rFonts w:ascii="Calibri" w:hAnsi="Calibri"/>
                <w:sz w:val="20"/>
              </w:rPr>
              <w:t>cerebellum</w:t>
            </w:r>
          </w:p>
        </w:tc>
        <w:tc>
          <w:tcPr>
            <w:tcW w:type="dxa" w:w="4513"/>
            <w:shd w:val="clear" w:color="auto" w:fill="F2F2F2"/>
          </w:tcPr>
          <w:p>
            <w:pPr>
              <w:spacing w:before="40" w:after="40"/>
            </w:pPr>
            <w:r>
              <w:rPr>
                <w:rFonts w:ascii="Calibri" w:hAnsi="Calibri"/>
                <w:sz w:val="20"/>
              </w:rPr>
              <w:t>Compensatory hyperactivation in PD motor circuitry; tremor target</w:t>
            </w:r>
          </w:p>
        </w:tc>
      </w:tr>
      <w:tr>
        <w:tc>
          <w:tcPr>
            <w:tcW w:type="dxa" w:w="4513"/>
            <w:shd w:val="clear" w:color="auto" w:fill="FFFFFF"/>
          </w:tcPr>
          <w:p>
            <w:pPr>
              <w:spacing w:before="40" w:after="40"/>
            </w:pPr>
            <w:r>
              <w:rPr>
                <w:rFonts w:ascii="Calibri" w:hAnsi="Calibri"/>
                <w:sz w:val="20"/>
              </w:rPr>
              <w:t>thalamus</w:t>
            </w:r>
          </w:p>
        </w:tc>
        <w:tc>
          <w:tcPr>
            <w:tcW w:type="dxa" w:w="4513"/>
            <w:shd w:val="clear" w:color="auto" w:fill="FFFFFF"/>
          </w:tcPr>
          <w:p>
            <w:pPr>
              <w:spacing w:before="40" w:after="40"/>
            </w:pPr>
            <w:r>
              <w:rPr>
                <w:rFonts w:ascii="Calibri" w:hAnsi="Calibri"/>
                <w:sz w:val="20"/>
              </w:rPr>
              <w:t>Receives basal ganglia output; reduced thalamocortical drive due to GPi overactivity</w:t>
            </w:r>
          </w:p>
        </w:tc>
      </w:tr>
      <w:tr>
        <w:tc>
          <w:tcPr>
            <w:tcW w:type="dxa" w:w="4513"/>
            <w:shd w:val="clear" w:color="auto" w:fill="F2F2F2"/>
          </w:tcPr>
          <w:p>
            <w:pPr>
              <w:spacing w:before="40" w:after="40"/>
            </w:pPr>
            <w:r>
              <w:rPr>
                <w:rFonts w:ascii="Calibri" w:hAnsi="Calibri"/>
                <w:sz w:val="20"/>
              </w:rPr>
              <w:t>striatum</w:t>
            </w:r>
          </w:p>
        </w:tc>
        <w:tc>
          <w:tcPr>
            <w:tcW w:type="dxa" w:w="4513"/>
            <w:shd w:val="clear" w:color="auto" w:fill="F2F2F2"/>
          </w:tcPr>
          <w:p>
            <w:pPr>
              <w:spacing w:before="40" w:after="40"/>
            </w:pPr>
            <w:r>
              <w:rPr>
                <w:rFonts w:ascii="Calibri" w:hAnsi="Calibri"/>
                <w:sz w:val="20"/>
              </w:rPr>
              <w:t>Primary target of nigrostriatal dopaminergic projections; dopamine depletion disrupts pathway balance</w:t>
            </w:r>
          </w:p>
        </w:tc>
      </w:tr>
    </w:tbl>
    <w:p>
      <w:pPr>
        <w:spacing w:before="40" w:after="160"/>
      </w:pPr>
      <w:r>
        <w:rPr>
          <w:i/>
          <w:color w:val="666666"/>
          <w:sz w:val="16"/>
        </w:rPr>
        <w:t>Table: Key Brain Regions</w:t>
      </w:r>
    </w:p>
    <w:p/>
    <w:p>
      <w:pPr>
        <w:spacing w:after="120"/>
      </w:pPr>
    </w:p>
    <w:p>
      <w:pPr>
        <w:spacing w:before="240" w:after="80"/>
      </w:pPr>
      <w:r>
        <w:rPr>
          <w:rFonts w:ascii="Calibri" w:hAnsi="Calibri"/>
          <w:b/>
          <w:color w:val="1B3A5C"/>
          <w:sz w:val="28"/>
        </w:rPr>
        <w:t>Clinical Phenotypes</w:t>
      </w:r>
    </w:p>
    <w:p>
      <w:pPr>
        <w:pBdr>
          <w:bottom w:val="single" w:sz="6" w:space="1" w:color="2E75B6"/>
        </w:pBdr>
        <w:spacing w:after="120"/>
      </w:pPr>
    </w:p>
    <w:p>
      <w:pPr>
        <w:spacing w:before="40" w:after="40"/>
      </w:pPr>
      <w:r>
        <w:rPr>
          <w:rFonts w:ascii="Calibri" w:hAnsi="Calibri"/>
          <w:color w:val="000000"/>
          <w:sz w:val="22"/>
        </w:rPr>
        <w:t>Phenotype identification is the first step in the FNON Five-Level Clinical Pathway. Each phenotype maps to specific brain network targets and preferred stimulation modalities.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805"/>
            <w:shd w:val="clear" w:color="auto" w:fill="1B3A5C"/>
            <w:vAlign w:val="center"/>
          </w:tcPr>
          <w:p>
            <w:pPr>
              <w:spacing w:before="60" w:after="60"/>
              <w:jc w:val="left"/>
            </w:pPr>
            <w:r>
              <w:rPr>
                <w:rFonts w:ascii="Calibri" w:hAnsi="Calibri"/>
                <w:b/>
                <w:color w:val="FFFFFF"/>
                <w:sz w:val="20"/>
              </w:rPr>
              <w:t>Phenotype</w:t>
            </w:r>
          </w:p>
        </w:tc>
        <w:tc>
          <w:tcPr>
            <w:tcW w:type="dxa" w:w="1805"/>
            <w:shd w:val="clear" w:color="auto" w:fill="1B3A5C"/>
            <w:vAlign w:val="center"/>
          </w:tcPr>
          <w:p>
            <w:pPr>
              <w:spacing w:before="60" w:after="60"/>
              <w:jc w:val="left"/>
            </w:pPr>
            <w:r>
              <w:rPr>
                <w:rFonts w:ascii="Calibri" w:hAnsi="Calibri"/>
                <w:b/>
                <w:color w:val="FFFFFF"/>
                <w:sz w:val="20"/>
              </w:rPr>
              <w:t>Description</w:t>
            </w:r>
          </w:p>
        </w:tc>
        <w:tc>
          <w:tcPr>
            <w:tcW w:type="dxa" w:w="1805"/>
            <w:shd w:val="clear" w:color="auto" w:fill="1B3A5C"/>
            <w:vAlign w:val="center"/>
          </w:tcPr>
          <w:p>
            <w:pPr>
              <w:spacing w:before="60" w:after="60"/>
              <w:jc w:val="left"/>
            </w:pPr>
            <w:r>
              <w:rPr>
                <w:rFonts w:ascii="Calibri" w:hAnsi="Calibri"/>
                <w:b/>
                <w:color w:val="FFFFFF"/>
                <w:sz w:val="20"/>
              </w:rPr>
              <w:t>Key Features</w:t>
            </w:r>
          </w:p>
        </w:tc>
        <w:tc>
          <w:tcPr>
            <w:tcW w:type="dxa" w:w="1805"/>
            <w:shd w:val="clear" w:color="auto" w:fill="1B3A5C"/>
            <w:vAlign w:val="center"/>
          </w:tcPr>
          <w:p>
            <w:pPr>
              <w:spacing w:before="60" w:after="60"/>
              <w:jc w:val="left"/>
            </w:pPr>
            <w:r>
              <w:rPr>
                <w:rFonts w:ascii="Calibri" w:hAnsi="Calibri"/>
                <w:b/>
                <w:color w:val="FFFFFF"/>
                <w:sz w:val="20"/>
              </w:rPr>
              <w:t>Primary Networks</w:t>
            </w:r>
          </w:p>
        </w:tc>
        <w:tc>
          <w:tcPr>
            <w:tcW w:type="dxa" w:w="1805"/>
            <w:shd w:val="clear" w:color="auto" w:fill="1B3A5C"/>
            <w:vAlign w:val="center"/>
          </w:tcPr>
          <w:p>
            <w:pPr>
              <w:spacing w:before="60" w:after="60"/>
              <w:jc w:val="left"/>
            </w:pPr>
            <w:r>
              <w:rPr>
                <w:rFonts w:ascii="Calibri" w:hAnsi="Calibri"/>
                <w:b/>
                <w:color w:val="FFFFFF"/>
                <w:sz w:val="20"/>
              </w:rPr>
              <w:t>Preferred Modalities</w:t>
            </w:r>
          </w:p>
        </w:tc>
      </w:tr>
      <w:tr>
        <w:tc>
          <w:tcPr>
            <w:tcW w:type="dxa" w:w="1805"/>
            <w:shd w:val="clear" w:color="auto" w:fill="F2F2F2"/>
          </w:tcPr>
          <w:p>
            <w:pPr>
              <w:spacing w:before="40" w:after="40"/>
            </w:pPr>
            <w:r>
              <w:rPr>
                <w:rFonts w:ascii="Calibri" w:hAnsi="Calibri"/>
                <w:sz w:val="20"/>
              </w:rPr>
              <w:t>TD — Tremor-Dominant</w:t>
            </w:r>
          </w:p>
        </w:tc>
        <w:tc>
          <w:tcPr>
            <w:tcW w:type="dxa" w:w="1805"/>
            <w:shd w:val="clear" w:color="auto" w:fill="F2F2F2"/>
          </w:tcPr>
          <w:p>
            <w:pPr>
              <w:spacing w:before="40" w:after="40"/>
            </w:pPr>
            <w:r>
              <w:rPr>
                <w:rFonts w:ascii="Calibri" w:hAnsi="Calibri"/>
                <w:sz w:val="20"/>
              </w:rPr>
              <w:t>Predominantly tremor with minimal bradykinesia and rigidity. Slower progression.</w:t>
            </w:r>
          </w:p>
        </w:tc>
        <w:tc>
          <w:tcPr>
            <w:tcW w:type="dxa" w:w="1805"/>
            <w:shd w:val="clear" w:color="auto" w:fill="F2F2F2"/>
          </w:tcPr>
          <w:p>
            <w:pPr>
              <w:spacing w:before="40" w:after="40"/>
            </w:pPr>
            <w:r>
              <w:rPr>
                <w:rFonts w:ascii="Calibri" w:hAnsi="Calibri"/>
                <w:sz w:val="20"/>
              </w:rPr>
              <w:t>Resting tremor 4-6 Hz; Pill-rolling tremor; Minimal bradykinesia</w:t>
            </w:r>
          </w:p>
        </w:tc>
        <w:tc>
          <w:tcPr>
            <w:tcW w:type="dxa" w:w="1805"/>
            <w:shd w:val="clear" w:color="auto" w:fill="F2F2F2"/>
          </w:tcPr>
          <w:p>
            <w:pPr>
              <w:spacing w:before="40" w:after="40"/>
            </w:pPr>
            <w:r>
              <w:rPr>
                <w:rFonts w:ascii="Calibri" w:hAnsi="Calibri"/>
                <w:sz w:val="20"/>
              </w:rPr>
              <w:t>SMN, ATTENTION</w:t>
            </w:r>
          </w:p>
        </w:tc>
        <w:tc>
          <w:tcPr>
            <w:tcW w:type="dxa" w:w="1805"/>
            <w:shd w:val="clear" w:color="auto" w:fill="F2F2F2"/>
          </w:tcPr>
          <w:p>
            <w:pPr>
              <w:spacing w:before="40" w:after="40"/>
            </w:pPr>
            <w:r>
              <w:rPr>
                <w:rFonts w:ascii="Calibri" w:hAnsi="Calibri"/>
                <w:sz w:val="20"/>
              </w:rPr>
              <w:t>TDCS, TPS</w:t>
            </w:r>
          </w:p>
        </w:tc>
      </w:tr>
      <w:tr>
        <w:tc>
          <w:tcPr>
            <w:tcW w:type="dxa" w:w="1805"/>
            <w:shd w:val="clear" w:color="auto" w:fill="FFFFFF"/>
          </w:tcPr>
          <w:p>
            <w:pPr>
              <w:spacing w:before="40" w:after="40"/>
            </w:pPr>
            <w:r>
              <w:rPr>
                <w:rFonts w:ascii="Calibri" w:hAnsi="Calibri"/>
                <w:sz w:val="20"/>
              </w:rPr>
              <w:t>AR — Akinetic-Rigid</w:t>
            </w:r>
          </w:p>
        </w:tc>
        <w:tc>
          <w:tcPr>
            <w:tcW w:type="dxa" w:w="1805"/>
            <w:shd w:val="clear" w:color="auto" w:fill="FFFFFF"/>
          </w:tcPr>
          <w:p>
            <w:pPr>
              <w:spacing w:before="40" w:after="40"/>
            </w:pPr>
            <w:r>
              <w:rPr>
                <w:rFonts w:ascii="Calibri" w:hAnsi="Calibri"/>
                <w:sz w:val="20"/>
              </w:rPr>
              <w:t>Predominant bradykinesia and rigidity without significant tremor. More rapid mot</w:t>
            </w:r>
          </w:p>
        </w:tc>
        <w:tc>
          <w:tcPr>
            <w:tcW w:type="dxa" w:w="1805"/>
            <w:shd w:val="clear" w:color="auto" w:fill="FFFFFF"/>
          </w:tcPr>
          <w:p>
            <w:pPr>
              <w:spacing w:before="40" w:after="40"/>
            </w:pPr>
            <w:r>
              <w:rPr>
                <w:rFonts w:ascii="Calibri" w:hAnsi="Calibri"/>
                <w:sz w:val="20"/>
              </w:rPr>
              <w:t>Bradykinesia; Lead-pipe rigidity; Minimal tremor</w:t>
            </w:r>
          </w:p>
        </w:tc>
        <w:tc>
          <w:tcPr>
            <w:tcW w:type="dxa" w:w="1805"/>
            <w:shd w:val="clear" w:color="auto" w:fill="FFFFFF"/>
          </w:tcPr>
          <w:p>
            <w:pPr>
              <w:spacing w:before="40" w:after="40"/>
            </w:pPr>
            <w:r>
              <w:rPr>
                <w:rFonts w:ascii="Calibri" w:hAnsi="Calibri"/>
                <w:sz w:val="20"/>
              </w:rPr>
              <w:t>SMN, CEN</w:t>
            </w:r>
          </w:p>
        </w:tc>
        <w:tc>
          <w:tcPr>
            <w:tcW w:type="dxa" w:w="1805"/>
            <w:shd w:val="clear" w:color="auto" w:fill="FFFFFF"/>
          </w:tcPr>
          <w:p>
            <w:pPr>
              <w:spacing w:before="40" w:after="40"/>
            </w:pPr>
            <w:r>
              <w:rPr>
                <w:rFonts w:ascii="Calibri" w:hAnsi="Calibri"/>
                <w:sz w:val="20"/>
              </w:rPr>
              <w:t>TDCS, TPS</w:t>
            </w:r>
          </w:p>
        </w:tc>
      </w:tr>
      <w:tr>
        <w:tc>
          <w:tcPr>
            <w:tcW w:type="dxa" w:w="1805"/>
            <w:shd w:val="clear" w:color="auto" w:fill="F2F2F2"/>
          </w:tcPr>
          <w:p>
            <w:pPr>
              <w:spacing w:before="40" w:after="40"/>
            </w:pPr>
            <w:r>
              <w:rPr>
                <w:rFonts w:ascii="Calibri" w:hAnsi="Calibri"/>
                <w:sz w:val="20"/>
              </w:rPr>
              <w:t>PIGD — Postural Instability / Gait Difficulty</w:t>
            </w:r>
          </w:p>
        </w:tc>
        <w:tc>
          <w:tcPr>
            <w:tcW w:type="dxa" w:w="1805"/>
            <w:shd w:val="clear" w:color="auto" w:fill="F2F2F2"/>
          </w:tcPr>
          <w:p>
            <w:pPr>
              <w:spacing w:before="40" w:after="40"/>
            </w:pPr>
            <w:r>
              <w:rPr>
                <w:rFonts w:ascii="Calibri" w:hAnsi="Calibri"/>
                <w:sz w:val="20"/>
              </w:rPr>
              <w:t>Prominent gait freezing, falls, and postural instability. Poorer prognosis.</w:t>
            </w:r>
          </w:p>
        </w:tc>
        <w:tc>
          <w:tcPr>
            <w:tcW w:type="dxa" w:w="1805"/>
            <w:shd w:val="clear" w:color="auto" w:fill="F2F2F2"/>
          </w:tcPr>
          <w:p>
            <w:pPr>
              <w:spacing w:before="40" w:after="40"/>
            </w:pPr>
            <w:r>
              <w:rPr>
                <w:rFonts w:ascii="Calibri" w:hAnsi="Calibri"/>
                <w:sz w:val="20"/>
              </w:rPr>
              <w:t>Postural instability; Freezing of gait; Falls</w:t>
            </w:r>
          </w:p>
        </w:tc>
        <w:tc>
          <w:tcPr>
            <w:tcW w:type="dxa" w:w="1805"/>
            <w:shd w:val="clear" w:color="auto" w:fill="F2F2F2"/>
          </w:tcPr>
          <w:p>
            <w:pPr>
              <w:spacing w:before="40" w:after="40"/>
            </w:pPr>
            <w:r>
              <w:rPr>
                <w:rFonts w:ascii="Calibri" w:hAnsi="Calibri"/>
                <w:sz w:val="20"/>
              </w:rPr>
              <w:t>SMN, ATTENTION</w:t>
            </w:r>
          </w:p>
        </w:tc>
        <w:tc>
          <w:tcPr>
            <w:tcW w:type="dxa" w:w="1805"/>
            <w:shd w:val="clear" w:color="auto" w:fill="F2F2F2"/>
          </w:tcPr>
          <w:p>
            <w:pPr>
              <w:spacing w:before="40" w:after="40"/>
            </w:pPr>
            <w:r>
              <w:rPr>
                <w:rFonts w:ascii="Calibri" w:hAnsi="Calibri"/>
                <w:sz w:val="20"/>
              </w:rPr>
              <w:t>TDCS, TPS</w:t>
            </w:r>
          </w:p>
        </w:tc>
      </w:tr>
      <w:tr>
        <w:tc>
          <w:tcPr>
            <w:tcW w:type="dxa" w:w="1805"/>
            <w:shd w:val="clear" w:color="auto" w:fill="FFFFFF"/>
          </w:tcPr>
          <w:p>
            <w:pPr>
              <w:spacing w:before="40" w:after="40"/>
            </w:pPr>
            <w:r>
              <w:rPr>
                <w:rFonts w:ascii="Calibri" w:hAnsi="Calibri"/>
                <w:sz w:val="20"/>
              </w:rPr>
              <w:t>COG — Cognitive-Predominant (PD-MCI)</w:t>
            </w:r>
          </w:p>
        </w:tc>
        <w:tc>
          <w:tcPr>
            <w:tcW w:type="dxa" w:w="1805"/>
            <w:shd w:val="clear" w:color="auto" w:fill="FFFFFF"/>
          </w:tcPr>
          <w:p>
            <w:pPr>
              <w:spacing w:before="40" w:after="40"/>
            </w:pPr>
            <w:r>
              <w:rPr>
                <w:rFonts w:ascii="Calibri" w:hAnsi="Calibri"/>
                <w:sz w:val="20"/>
              </w:rPr>
              <w:t>Executive dysfunction, attention deficits, and memory impairment predominate.</w:t>
            </w:r>
          </w:p>
        </w:tc>
        <w:tc>
          <w:tcPr>
            <w:tcW w:type="dxa" w:w="1805"/>
            <w:shd w:val="clear" w:color="auto" w:fill="FFFFFF"/>
          </w:tcPr>
          <w:p>
            <w:pPr>
              <w:spacing w:before="40" w:after="40"/>
            </w:pPr>
            <w:r>
              <w:rPr>
                <w:rFonts w:ascii="Calibri" w:hAnsi="Calibri"/>
                <w:sz w:val="20"/>
              </w:rPr>
              <w:t>Executive dysfunction; Working memory impairment; Attention deficits</w:t>
            </w:r>
          </w:p>
        </w:tc>
        <w:tc>
          <w:tcPr>
            <w:tcW w:type="dxa" w:w="1805"/>
            <w:shd w:val="clear" w:color="auto" w:fill="FFFFFF"/>
          </w:tcPr>
          <w:p>
            <w:pPr>
              <w:spacing w:before="40" w:after="40"/>
            </w:pPr>
            <w:r>
              <w:rPr>
                <w:rFonts w:ascii="Calibri" w:hAnsi="Calibri"/>
                <w:sz w:val="20"/>
              </w:rPr>
              <w:t>CEN, DMN</w:t>
            </w:r>
          </w:p>
        </w:tc>
        <w:tc>
          <w:tcPr>
            <w:tcW w:type="dxa" w:w="1805"/>
            <w:shd w:val="clear" w:color="auto" w:fill="FFFFFF"/>
          </w:tcPr>
          <w:p>
            <w:pPr>
              <w:spacing w:before="40" w:after="40"/>
            </w:pPr>
            <w:r>
              <w:rPr>
                <w:rFonts w:ascii="Calibri" w:hAnsi="Calibri"/>
                <w:sz w:val="20"/>
              </w:rPr>
              <w:t>TDCS, TPS</w:t>
            </w:r>
          </w:p>
        </w:tc>
      </w:tr>
    </w:tbl>
    <w:p>
      <w:pPr>
        <w:spacing w:before="40" w:after="160"/>
      </w:pPr>
      <w:r>
        <w:rPr>
          <w:i/>
          <w:color w:val="666666"/>
          <w:sz w:val="16"/>
        </w:rPr>
        <w:t>Table: Phenotype Classification</w:t>
      </w:r>
    </w:p>
    <w:p/>
    <w:p>
      <w:pPr>
        <w:spacing w:after="120"/>
      </w:pPr>
    </w:p>
    <w:p>
      <w:pPr>
        <w:spacing w:before="240" w:after="80"/>
      </w:pPr>
      <w:r>
        <w:rPr>
          <w:rFonts w:ascii="Calibri" w:hAnsi="Calibri"/>
          <w:b/>
          <w:color w:val="1B3A5C"/>
          <w:sz w:val="28"/>
        </w:rPr>
        <w:t>tDCS Protocols</w:t>
      </w:r>
    </w:p>
    <w:p>
      <w:pPr>
        <w:pBdr>
          <w:bottom w:val="single" w:sz="6" w:space="1" w:color="2E75B6"/>
        </w:pBdr>
        <w:spacing w:after="120"/>
      </w:pPr>
    </w:p>
    <w:p>
      <w:pPr>
        <w:spacing w:before="40" w:after="40"/>
      </w:pPr>
      <w:r>
        <w:rPr>
          <w:rFonts w:ascii="Calibri" w:hAnsi="Calibri"/>
          <w:color w:val="000000"/>
          <w:sz w:val="22"/>
        </w:rPr>
        <w:t>Low-intensity direct current applied via scalp electrodes to modulate cortical excitability.</w:t>
      </w:r>
    </w:p>
    <w:tbl>
      <w:tblPr>
        <w:tblStyle w:val="TableGrid"/>
        <w:tblW w:type="auto" w:w="0"/>
        <w:jc w:val="left"/>
        <w:tblLook w:firstColumn="1" w:firstRow="1" w:lastColumn="0" w:lastRow="0" w:noHBand="0" w:noVBand="1" w:val="04A0"/>
      </w:tblPr>
      <w:tblGrid>
        <w:gridCol w:w="1504"/>
        <w:gridCol w:w="1504"/>
        <w:gridCol w:w="1504"/>
        <w:gridCol w:w="1504"/>
        <w:gridCol w:w="1504"/>
        <w:gridCol w:w="1504"/>
      </w:tblGrid>
      <w:tr>
        <w:tc>
          <w:tcPr>
            <w:tcW w:type="dxa" w:w="1504"/>
            <w:shd w:val="clear" w:color="auto" w:fill="1B3A5C"/>
            <w:vAlign w:val="center"/>
          </w:tcPr>
          <w:p>
            <w:pPr>
              <w:spacing w:before="60" w:after="60"/>
              <w:jc w:val="left"/>
            </w:pPr>
            <w:r>
              <w:rPr>
                <w:rFonts w:ascii="Calibri" w:hAnsi="Calibri"/>
                <w:b/>
                <w:color w:val="FFFFFF"/>
                <w:sz w:val="20"/>
              </w:rPr>
              <w:t>ID</w:t>
            </w:r>
          </w:p>
        </w:tc>
        <w:tc>
          <w:tcPr>
            <w:tcW w:type="dxa" w:w="1504"/>
            <w:shd w:val="clear" w:color="auto" w:fill="1B3A5C"/>
            <w:vAlign w:val="center"/>
          </w:tcPr>
          <w:p>
            <w:pPr>
              <w:spacing w:before="60" w:after="60"/>
              <w:jc w:val="left"/>
            </w:pPr>
            <w:r>
              <w:rPr>
                <w:rFonts w:ascii="Calibri" w:hAnsi="Calibri"/>
                <w:b/>
                <w:color w:val="FFFFFF"/>
                <w:sz w:val="20"/>
              </w:rPr>
              <w:t>Protocol Label</w:t>
            </w:r>
          </w:p>
        </w:tc>
        <w:tc>
          <w:tcPr>
            <w:tcW w:type="dxa" w:w="1504"/>
            <w:shd w:val="clear" w:color="auto" w:fill="1B3A5C"/>
            <w:vAlign w:val="center"/>
          </w:tcPr>
          <w:p>
            <w:pPr>
              <w:spacing w:before="60" w:after="60"/>
              <w:jc w:val="left"/>
            </w:pPr>
            <w:r>
              <w:rPr>
                <w:rFonts w:ascii="Calibri" w:hAnsi="Calibri"/>
                <w:b/>
                <w:color w:val="FFFFFF"/>
                <w:sz w:val="20"/>
              </w:rPr>
              <w:t>Target Region</w:t>
            </w:r>
          </w:p>
        </w:tc>
        <w:tc>
          <w:tcPr>
            <w:tcW w:type="dxa" w:w="1504"/>
            <w:shd w:val="clear" w:color="auto" w:fill="1B3A5C"/>
            <w:vAlign w:val="center"/>
          </w:tcPr>
          <w:p>
            <w:pPr>
              <w:spacing w:before="60" w:after="60"/>
              <w:jc w:val="left"/>
            </w:pPr>
            <w:r>
              <w:rPr>
                <w:rFonts w:ascii="Calibri" w:hAnsi="Calibri"/>
                <w:b/>
                <w:color w:val="FFFFFF"/>
                <w:sz w:val="20"/>
              </w:rPr>
              <w:t>Parameters</w:t>
            </w:r>
          </w:p>
        </w:tc>
        <w:tc>
          <w:tcPr>
            <w:tcW w:type="dxa" w:w="1504"/>
            <w:shd w:val="clear" w:color="auto" w:fill="1B3A5C"/>
            <w:vAlign w:val="center"/>
          </w:tcPr>
          <w:p>
            <w:pPr>
              <w:spacing w:before="60" w:after="60"/>
              <w:jc w:val="left"/>
            </w:pPr>
            <w:r>
              <w:rPr>
                <w:rFonts w:ascii="Calibri" w:hAnsi="Calibri"/>
                <w:b/>
                <w:color w:val="FFFFFF"/>
                <w:sz w:val="20"/>
              </w:rPr>
              <w:t>Evidence Level</w:t>
            </w:r>
          </w:p>
        </w:tc>
        <w:tc>
          <w:tcPr>
            <w:tcW w:type="dxa" w:w="1504"/>
            <w:shd w:val="clear" w:color="auto" w:fill="1B3A5C"/>
            <w:vAlign w:val="center"/>
          </w:tcPr>
          <w:p>
            <w:pPr>
              <w:spacing w:before="60" w:after="60"/>
              <w:jc w:val="left"/>
            </w:pPr>
            <w:r>
              <w:rPr>
                <w:rFonts w:ascii="Calibri" w:hAnsi="Calibri"/>
                <w:b/>
                <w:color w:val="FFFFFF"/>
                <w:sz w:val="20"/>
              </w:rPr>
              <w:t>Off-Label Status</w:t>
            </w:r>
          </w:p>
        </w:tc>
      </w:tr>
      <w:tr>
        <w:tc>
          <w:tcPr>
            <w:tcW w:type="dxa" w:w="1504"/>
            <w:shd w:val="clear" w:color="auto" w:fill="F2F2F2"/>
          </w:tcPr>
          <w:p>
            <w:pPr>
              <w:spacing w:before="40" w:after="40"/>
            </w:pPr>
            <w:r>
              <w:rPr>
                <w:rFonts w:ascii="Calibri" w:hAnsi="Calibri"/>
                <w:sz w:val="20"/>
              </w:rPr>
              <w:t>pd-tdcs-motor</w:t>
            </w:r>
          </w:p>
        </w:tc>
        <w:tc>
          <w:tcPr>
            <w:tcW w:type="dxa" w:w="1504"/>
            <w:shd w:val="clear" w:color="auto" w:fill="F2F2F2"/>
          </w:tcPr>
          <w:p>
            <w:pPr>
              <w:spacing w:before="40" w:after="40"/>
            </w:pPr>
            <w:r>
              <w:rPr>
                <w:rFonts w:ascii="Calibri" w:hAnsi="Calibri"/>
                <w:sz w:val="20"/>
              </w:rPr>
              <w:t>tDCS Motor (Bradykinesia &amp; Rigidity)</w:t>
            </w:r>
          </w:p>
        </w:tc>
        <w:tc>
          <w:tcPr>
            <w:tcW w:type="dxa" w:w="1504"/>
            <w:shd w:val="clear" w:color="auto" w:fill="F2F2F2"/>
          </w:tcPr>
          <w:p>
            <w:pPr>
              <w:spacing w:before="40" w:after="40"/>
            </w:pPr>
            <w:r>
              <w:rPr>
                <w:rFonts w:ascii="Calibri" w:hAnsi="Calibri"/>
                <w:sz w:val="20"/>
              </w:rPr>
              <w:t>Primary Motor Cortex bilateral</w:t>
            </w:r>
          </w:p>
        </w:tc>
        <w:tc>
          <w:tcPr>
            <w:tcW w:type="dxa" w:w="1504"/>
            <w:shd w:val="clear" w:color="auto" w:fill="F2F2F2"/>
          </w:tcPr>
          <w:p>
            <w:pPr>
              <w:spacing w:before="40" w:after="40"/>
            </w:pPr>
            <w:r>
              <w:rPr>
                <w:rFonts w:ascii="Calibri" w:hAnsi="Calibri"/>
                <w:sz w:val="20"/>
              </w:rPr>
              <w:t>current_mA: 2.0, duration_min: 20-30, anode: C3, C4, cathode: Fp1, Fp2 (supraorbital)</w:t>
            </w:r>
          </w:p>
        </w:tc>
        <w:tc>
          <w:tcPr>
            <w:tcW w:type="dxa" w:w="1504"/>
            <w:shd w:val="clear" w:color="auto" w:fill="F2F2F2"/>
          </w:tcPr>
          <w:p>
            <w:pPr>
              <w:spacing w:before="40" w:after="40"/>
            </w:pPr>
            <w:r>
              <w:rPr>
                <w:rFonts w:ascii="Calibri" w:hAnsi="Calibri"/>
                <w:sz w:val="20"/>
              </w:rPr>
              <w:t>high</w:t>
            </w:r>
          </w:p>
        </w:tc>
        <w:tc>
          <w:tcPr>
            <w:tcW w:type="dxa" w:w="1504"/>
            <w:shd w:val="clear" w:color="auto" w:fill="F2F2F2"/>
          </w:tcPr>
          <w:p>
            <w:pPr>
              <w:spacing w:before="40" w:after="40"/>
            </w:pPr>
            <w:r>
              <w:rPr>
                <w:rFonts w:ascii="Calibri" w:hAnsi="Calibri"/>
                <w:sz w:val="20"/>
              </w:rPr>
              <w:t>On-label</w:t>
            </w:r>
          </w:p>
        </w:tc>
      </w:tr>
      <w:tr>
        <w:tc>
          <w:tcPr>
            <w:tcW w:type="dxa" w:w="1504"/>
            <w:shd w:val="clear" w:color="auto" w:fill="FFFFFF"/>
          </w:tcPr>
          <w:p>
            <w:pPr>
              <w:spacing w:before="40" w:after="40"/>
            </w:pPr>
            <w:r>
              <w:rPr>
                <w:rFonts w:ascii="Calibri" w:hAnsi="Calibri"/>
                <w:sz w:val="20"/>
              </w:rPr>
              <w:t>pd-tdcs-cognition</w:t>
            </w:r>
          </w:p>
        </w:tc>
        <w:tc>
          <w:tcPr>
            <w:tcW w:type="dxa" w:w="1504"/>
            <w:shd w:val="clear" w:color="auto" w:fill="FFFFFF"/>
          </w:tcPr>
          <w:p>
            <w:pPr>
              <w:spacing w:before="40" w:after="40"/>
            </w:pPr>
            <w:r>
              <w:rPr>
                <w:rFonts w:ascii="Calibri" w:hAnsi="Calibri"/>
                <w:sz w:val="20"/>
              </w:rPr>
              <w:t>tDCS Cognition &amp; Executive Function</w:t>
            </w:r>
          </w:p>
        </w:tc>
        <w:tc>
          <w:tcPr>
            <w:tcW w:type="dxa" w:w="1504"/>
            <w:shd w:val="clear" w:color="auto" w:fill="FFFFFF"/>
          </w:tcPr>
          <w:p>
            <w:pPr>
              <w:spacing w:before="40" w:after="40"/>
            </w:pPr>
            <w:r>
              <w:rPr>
                <w:rFonts w:ascii="Calibri" w:hAnsi="Calibri"/>
                <w:sz w:val="20"/>
              </w:rPr>
              <w:t>Left Dorsolateral Prefrontal Cortex</w:t>
            </w:r>
          </w:p>
        </w:tc>
        <w:tc>
          <w:tcPr>
            <w:tcW w:type="dxa" w:w="1504"/>
            <w:shd w:val="clear" w:color="auto" w:fill="FFFFFF"/>
          </w:tcPr>
          <w:p>
            <w:pPr>
              <w:spacing w:before="40" w:after="40"/>
            </w:pPr>
            <w:r>
              <w:rPr>
                <w:rFonts w:ascii="Calibri" w:hAnsi="Calibri"/>
                <w:sz w:val="20"/>
              </w:rPr>
              <w:t>current_mA: 2.0, duration_min: 20, anode: F3, cathode: Fp2 (contralateral supraorbital)</w:t>
            </w:r>
          </w:p>
        </w:tc>
        <w:tc>
          <w:tcPr>
            <w:tcW w:type="dxa" w:w="1504"/>
            <w:shd w:val="clear" w:color="auto" w:fill="FFFFFF"/>
          </w:tcPr>
          <w:p>
            <w:pPr>
              <w:spacing w:before="40" w:after="40"/>
            </w:pPr>
            <w:r>
              <w:rPr>
                <w:rFonts w:ascii="Calibri" w:hAnsi="Calibri"/>
                <w:sz w:val="20"/>
              </w:rPr>
              <w:t>medium</w:t>
            </w:r>
          </w:p>
        </w:tc>
        <w:tc>
          <w:tcPr>
            <w:tcW w:type="dxa" w:w="1504"/>
            <w:shd w:val="clear" w:color="auto" w:fill="FFFFFF"/>
          </w:tcPr>
          <w:p>
            <w:pPr>
              <w:spacing w:before="40" w:after="40"/>
            </w:pPr>
            <w:r>
              <w:rPr>
                <w:rFonts w:ascii="Calibri" w:hAnsi="Calibri"/>
                <w:sz w:val="20"/>
              </w:rPr>
              <w:t>On-label</w:t>
            </w:r>
          </w:p>
        </w:tc>
      </w:tr>
      <w:tr>
        <w:tc>
          <w:tcPr>
            <w:tcW w:type="dxa" w:w="1504"/>
            <w:shd w:val="clear" w:color="auto" w:fill="F2F2F2"/>
          </w:tcPr>
          <w:p>
            <w:pPr>
              <w:spacing w:before="40" w:after="40"/>
            </w:pPr>
            <w:r>
              <w:rPr>
                <w:rFonts w:ascii="Calibri" w:hAnsi="Calibri"/>
                <w:sz w:val="20"/>
              </w:rPr>
              <w:t>pd-tdcs-mood</w:t>
            </w:r>
          </w:p>
        </w:tc>
        <w:tc>
          <w:tcPr>
            <w:tcW w:type="dxa" w:w="1504"/>
            <w:shd w:val="clear" w:color="auto" w:fill="F2F2F2"/>
          </w:tcPr>
          <w:p>
            <w:pPr>
              <w:spacing w:before="40" w:after="40"/>
            </w:pPr>
            <w:r>
              <w:rPr>
                <w:rFonts w:ascii="Calibri" w:hAnsi="Calibri"/>
                <w:sz w:val="20"/>
              </w:rPr>
              <w:t>tDCS Depression &amp; Apathy</w:t>
            </w:r>
          </w:p>
        </w:tc>
        <w:tc>
          <w:tcPr>
            <w:tcW w:type="dxa" w:w="1504"/>
            <w:shd w:val="clear" w:color="auto" w:fill="F2F2F2"/>
          </w:tcPr>
          <w:p>
            <w:pPr>
              <w:spacing w:before="40" w:after="40"/>
            </w:pPr>
            <w:r>
              <w:rPr>
                <w:rFonts w:ascii="Calibri" w:hAnsi="Calibri"/>
                <w:sz w:val="20"/>
              </w:rPr>
              <w:t>Bilateral DLPFC</w:t>
            </w:r>
          </w:p>
        </w:tc>
        <w:tc>
          <w:tcPr>
            <w:tcW w:type="dxa" w:w="1504"/>
            <w:shd w:val="clear" w:color="auto" w:fill="F2F2F2"/>
          </w:tcPr>
          <w:p>
            <w:pPr>
              <w:spacing w:before="40" w:after="40"/>
            </w:pPr>
            <w:r>
              <w:rPr>
                <w:rFonts w:ascii="Calibri" w:hAnsi="Calibri"/>
                <w:sz w:val="20"/>
              </w:rPr>
              <w:t>current_mA: 2.0, duration_min: 20-30, anode: F3, cathode: F4</w:t>
            </w:r>
          </w:p>
        </w:tc>
        <w:tc>
          <w:tcPr>
            <w:tcW w:type="dxa" w:w="1504"/>
            <w:shd w:val="clear" w:color="auto" w:fill="F2F2F2"/>
          </w:tcPr>
          <w:p>
            <w:pPr>
              <w:spacing w:before="40" w:after="40"/>
            </w:pPr>
            <w:r>
              <w:rPr>
                <w:rFonts w:ascii="Calibri" w:hAnsi="Calibri"/>
                <w:sz w:val="20"/>
              </w:rPr>
              <w:t>medium</w:t>
            </w:r>
          </w:p>
        </w:tc>
        <w:tc>
          <w:tcPr>
            <w:tcW w:type="dxa" w:w="1504"/>
            <w:shd w:val="clear" w:color="auto" w:fill="F2F2F2"/>
          </w:tcPr>
          <w:p>
            <w:pPr>
              <w:spacing w:before="40" w:after="40"/>
            </w:pPr>
            <w:r>
              <w:rPr>
                <w:rFonts w:ascii="Calibri" w:hAnsi="Calibri"/>
                <w:sz w:val="20"/>
              </w:rPr>
              <w:t>On-label</w:t>
            </w:r>
          </w:p>
        </w:tc>
      </w:tr>
    </w:tbl>
    <w:p>
      <w:pPr>
        <w:spacing w:before="40" w:after="160"/>
      </w:pPr>
      <w:r>
        <w:rPr>
          <w:i/>
          <w:color w:val="666666"/>
          <w:sz w:val="16"/>
        </w:rPr>
        <w:t>Table: Protocols (TDCS)</w:t>
      </w:r>
    </w:p>
    <w:p/>
    <w:p>
      <w:pPr>
        <w:spacing w:after="120"/>
      </w:pPr>
    </w:p>
    <w:p>
      <w:pPr>
        <w:spacing w:before="240" w:after="80"/>
      </w:pPr>
      <w:r>
        <w:rPr>
          <w:rFonts w:ascii="Calibri" w:hAnsi="Calibri"/>
          <w:b/>
          <w:color w:val="1B3A5C"/>
          <w:sz w:val="28"/>
        </w:rPr>
        <w:t>TPS Protocols</w:t>
      </w:r>
    </w:p>
    <w:p>
      <w:pPr>
        <w:pBdr>
          <w:bottom w:val="single" w:sz="6" w:space="1" w:color="2E75B6"/>
        </w:pBdr>
        <w:spacing w:after="120"/>
      </w:pPr>
    </w:p>
    <w:p>
      <w:pPr>
        <w:spacing w:before="40" w:after="40"/>
      </w:pPr>
      <w:r>
        <w:rPr>
          <w:rFonts w:ascii="Calibri" w:hAnsi="Calibri"/>
          <w:color w:val="000000"/>
          <w:sz w:val="22"/>
        </w:rPr>
        <w:t>TPS (NEUROLITH) delivers focused ultrasound pulses to modulate deep brain structures. TPS is CE-marked for Alzheimer's disease ONLY. Use in all other conditions is INVESTIGATIONAL and OFF-LABEL. Informed consent and Doctor authorization are mandatory.</w:t>
      </w:r>
    </w:p>
    <w:tbl>
      <w:tblPr>
        <w:tblStyle w:val="TableGrid"/>
        <w:tblW w:type="auto" w:w="0"/>
        <w:jc w:val="left"/>
        <w:tblLook w:firstColumn="1" w:firstRow="1" w:lastColumn="0" w:lastRow="0" w:noHBand="0" w:noVBand="1" w:val="04A0"/>
      </w:tblPr>
      <w:tblGrid>
        <w:gridCol w:w="1504"/>
        <w:gridCol w:w="1504"/>
        <w:gridCol w:w="1504"/>
        <w:gridCol w:w="1504"/>
        <w:gridCol w:w="1504"/>
        <w:gridCol w:w="1504"/>
      </w:tblGrid>
      <w:tr>
        <w:tc>
          <w:tcPr>
            <w:tcW w:type="dxa" w:w="1504"/>
            <w:shd w:val="clear" w:color="auto" w:fill="1B3A5C"/>
            <w:vAlign w:val="center"/>
          </w:tcPr>
          <w:p>
            <w:pPr>
              <w:spacing w:before="60" w:after="60"/>
              <w:jc w:val="left"/>
            </w:pPr>
            <w:r>
              <w:rPr>
                <w:rFonts w:ascii="Calibri" w:hAnsi="Calibri"/>
                <w:b/>
                <w:color w:val="FFFFFF"/>
                <w:sz w:val="20"/>
              </w:rPr>
              <w:t>ID</w:t>
            </w:r>
          </w:p>
        </w:tc>
        <w:tc>
          <w:tcPr>
            <w:tcW w:type="dxa" w:w="1504"/>
            <w:shd w:val="clear" w:color="auto" w:fill="1B3A5C"/>
            <w:vAlign w:val="center"/>
          </w:tcPr>
          <w:p>
            <w:pPr>
              <w:spacing w:before="60" w:after="60"/>
              <w:jc w:val="left"/>
            </w:pPr>
            <w:r>
              <w:rPr>
                <w:rFonts w:ascii="Calibri" w:hAnsi="Calibri"/>
                <w:b/>
                <w:color w:val="FFFFFF"/>
                <w:sz w:val="20"/>
              </w:rPr>
              <w:t>Protocol Label</w:t>
            </w:r>
          </w:p>
        </w:tc>
        <w:tc>
          <w:tcPr>
            <w:tcW w:type="dxa" w:w="1504"/>
            <w:shd w:val="clear" w:color="auto" w:fill="1B3A5C"/>
            <w:vAlign w:val="center"/>
          </w:tcPr>
          <w:p>
            <w:pPr>
              <w:spacing w:before="60" w:after="60"/>
              <w:jc w:val="left"/>
            </w:pPr>
            <w:r>
              <w:rPr>
                <w:rFonts w:ascii="Calibri" w:hAnsi="Calibri"/>
                <w:b/>
                <w:color w:val="FFFFFF"/>
                <w:sz w:val="20"/>
              </w:rPr>
              <w:t>Target Region</w:t>
            </w:r>
          </w:p>
        </w:tc>
        <w:tc>
          <w:tcPr>
            <w:tcW w:type="dxa" w:w="1504"/>
            <w:shd w:val="clear" w:color="auto" w:fill="1B3A5C"/>
            <w:vAlign w:val="center"/>
          </w:tcPr>
          <w:p>
            <w:pPr>
              <w:spacing w:before="60" w:after="60"/>
              <w:jc w:val="left"/>
            </w:pPr>
            <w:r>
              <w:rPr>
                <w:rFonts w:ascii="Calibri" w:hAnsi="Calibri"/>
                <w:b/>
                <w:color w:val="FFFFFF"/>
                <w:sz w:val="20"/>
              </w:rPr>
              <w:t>Parameters</w:t>
            </w:r>
          </w:p>
        </w:tc>
        <w:tc>
          <w:tcPr>
            <w:tcW w:type="dxa" w:w="1504"/>
            <w:shd w:val="clear" w:color="auto" w:fill="1B3A5C"/>
            <w:vAlign w:val="center"/>
          </w:tcPr>
          <w:p>
            <w:pPr>
              <w:spacing w:before="60" w:after="60"/>
              <w:jc w:val="left"/>
            </w:pPr>
            <w:r>
              <w:rPr>
                <w:rFonts w:ascii="Calibri" w:hAnsi="Calibri"/>
                <w:b/>
                <w:color w:val="FFFFFF"/>
                <w:sz w:val="20"/>
              </w:rPr>
              <w:t>Evidence Level</w:t>
            </w:r>
          </w:p>
        </w:tc>
        <w:tc>
          <w:tcPr>
            <w:tcW w:type="dxa" w:w="1504"/>
            <w:shd w:val="clear" w:color="auto" w:fill="1B3A5C"/>
            <w:vAlign w:val="center"/>
          </w:tcPr>
          <w:p>
            <w:pPr>
              <w:spacing w:before="60" w:after="60"/>
              <w:jc w:val="left"/>
            </w:pPr>
            <w:r>
              <w:rPr>
                <w:rFonts w:ascii="Calibri" w:hAnsi="Calibri"/>
                <w:b/>
                <w:color w:val="FFFFFF"/>
                <w:sz w:val="20"/>
              </w:rPr>
              <w:t>Off-Label Status</w:t>
            </w:r>
          </w:p>
        </w:tc>
      </w:tr>
      <w:tr>
        <w:tc>
          <w:tcPr>
            <w:tcW w:type="dxa" w:w="1504"/>
            <w:shd w:val="clear" w:color="auto" w:fill="F2F2F2"/>
          </w:tcPr>
          <w:p>
            <w:pPr>
              <w:spacing w:before="40" w:after="40"/>
            </w:pPr>
            <w:r>
              <w:rPr>
                <w:rFonts w:ascii="Calibri" w:hAnsi="Calibri"/>
                <w:sz w:val="20"/>
              </w:rPr>
              <w:t>pd-tps-motor</w:t>
            </w:r>
          </w:p>
        </w:tc>
        <w:tc>
          <w:tcPr>
            <w:tcW w:type="dxa" w:w="1504"/>
            <w:shd w:val="clear" w:color="auto" w:fill="F2F2F2"/>
          </w:tcPr>
          <w:p>
            <w:pPr>
              <w:spacing w:before="40" w:after="40"/>
            </w:pPr>
            <w:r>
              <w:rPr>
                <w:rFonts w:ascii="Calibri" w:hAnsi="Calibri"/>
                <w:sz w:val="20"/>
              </w:rPr>
              <w:t>TPS Motor (Bradykinesia &amp; Rigidity)</w:t>
            </w:r>
          </w:p>
        </w:tc>
        <w:tc>
          <w:tcPr>
            <w:tcW w:type="dxa" w:w="1504"/>
            <w:shd w:val="clear" w:color="auto" w:fill="F2F2F2"/>
          </w:tcPr>
          <w:p>
            <w:pPr>
              <w:spacing w:before="40" w:after="40"/>
            </w:pPr>
            <w:r>
              <w:rPr>
                <w:rFonts w:ascii="Calibri" w:hAnsi="Calibri"/>
                <w:sz w:val="20"/>
              </w:rPr>
              <w:t>Bilateral M1 + SMA</w:t>
            </w:r>
          </w:p>
        </w:tc>
        <w:tc>
          <w:tcPr>
            <w:tcW w:type="dxa" w:w="1504"/>
            <w:shd w:val="clear" w:color="auto" w:fill="F2F2F2"/>
          </w:tcPr>
          <w:p>
            <w:pPr>
              <w:spacing w:before="40" w:after="40"/>
            </w:pPr>
            <w:r>
              <w:rPr>
                <w:rFonts w:ascii="Calibri" w:hAnsi="Calibri"/>
                <w:sz w:val="20"/>
              </w:rPr>
              <w:t>pulses: 3000-5000, frequency_hz: 5, energy_mJ_mm2: 0.2</w:t>
            </w:r>
          </w:p>
        </w:tc>
        <w:tc>
          <w:tcPr>
            <w:tcW w:type="dxa" w:w="1504"/>
            <w:shd w:val="clear" w:color="auto" w:fill="F2F2F2"/>
          </w:tcPr>
          <w:p>
            <w:pPr>
              <w:spacing w:before="40" w:after="40"/>
            </w:pPr>
            <w:r>
              <w:rPr>
                <w:rFonts w:ascii="Calibri" w:hAnsi="Calibri"/>
                <w:sz w:val="20"/>
              </w:rPr>
              <w:t>medium</w:t>
            </w:r>
          </w:p>
        </w:tc>
        <w:tc>
          <w:tcPr>
            <w:tcW w:type="dxa" w:w="1504"/>
            <w:shd w:val="clear" w:color="auto" w:fill="F2F2F2"/>
          </w:tcPr>
          <w:p>
            <w:pPr>
              <w:spacing w:before="40" w:after="40"/>
            </w:pPr>
            <w:r>
              <w:rPr>
                <w:rFonts w:ascii="Calibri" w:hAnsi="Calibri"/>
                <w:b/>
                <w:color w:val="CC0000"/>
                <w:sz w:val="20"/>
              </w:rPr>
              <w:t>OFF-LABEL</w:t>
            </w:r>
          </w:p>
        </w:tc>
      </w:tr>
      <w:tr>
        <w:tc>
          <w:tcPr>
            <w:tcW w:type="dxa" w:w="1504"/>
            <w:shd w:val="clear" w:color="auto" w:fill="FFFFFF"/>
          </w:tcPr>
          <w:p>
            <w:pPr>
              <w:spacing w:before="40" w:after="40"/>
            </w:pPr>
            <w:r>
              <w:rPr>
                <w:rFonts w:ascii="Calibri" w:hAnsi="Calibri"/>
                <w:sz w:val="20"/>
              </w:rPr>
              <w:t>pd-tps-cognition</w:t>
            </w:r>
          </w:p>
        </w:tc>
        <w:tc>
          <w:tcPr>
            <w:tcW w:type="dxa" w:w="1504"/>
            <w:shd w:val="clear" w:color="auto" w:fill="FFFFFF"/>
          </w:tcPr>
          <w:p>
            <w:pPr>
              <w:spacing w:before="40" w:after="40"/>
            </w:pPr>
            <w:r>
              <w:rPr>
                <w:rFonts w:ascii="Calibri" w:hAnsi="Calibri"/>
                <w:sz w:val="20"/>
              </w:rPr>
              <w:t>TPS Cognition (PD-MCI)</w:t>
            </w:r>
          </w:p>
        </w:tc>
        <w:tc>
          <w:tcPr>
            <w:tcW w:type="dxa" w:w="1504"/>
            <w:shd w:val="clear" w:color="auto" w:fill="FFFFFF"/>
          </w:tcPr>
          <w:p>
            <w:pPr>
              <w:spacing w:before="40" w:after="40"/>
            </w:pPr>
            <w:r>
              <w:rPr>
                <w:rFonts w:ascii="Calibri" w:hAnsi="Calibri"/>
                <w:sz w:val="20"/>
              </w:rPr>
              <w:t>L-DLPFC + bilateral PPC</w:t>
            </w:r>
          </w:p>
        </w:tc>
        <w:tc>
          <w:tcPr>
            <w:tcW w:type="dxa" w:w="1504"/>
            <w:shd w:val="clear" w:color="auto" w:fill="FFFFFF"/>
          </w:tcPr>
          <w:p>
            <w:pPr>
              <w:spacing w:before="40" w:after="40"/>
            </w:pPr>
            <w:r>
              <w:rPr>
                <w:rFonts w:ascii="Calibri" w:hAnsi="Calibri"/>
                <w:sz w:val="20"/>
              </w:rPr>
              <w:t>pulses: 4000, frequency_hz: 5, energy_mJ_mm2: 0.2</w:t>
            </w:r>
          </w:p>
        </w:tc>
        <w:tc>
          <w:tcPr>
            <w:tcW w:type="dxa" w:w="1504"/>
            <w:shd w:val="clear" w:color="auto" w:fill="FFFFFF"/>
          </w:tcPr>
          <w:p>
            <w:pPr>
              <w:spacing w:before="40" w:after="40"/>
            </w:pPr>
            <w:r>
              <w:rPr>
                <w:rFonts w:ascii="Calibri" w:hAnsi="Calibri"/>
                <w:sz w:val="20"/>
              </w:rPr>
              <w:t>low</w:t>
            </w:r>
          </w:p>
        </w:tc>
        <w:tc>
          <w:tcPr>
            <w:tcW w:type="dxa" w:w="1504"/>
            <w:shd w:val="clear" w:color="auto" w:fill="FFFFFF"/>
          </w:tcPr>
          <w:p>
            <w:pPr>
              <w:spacing w:before="40" w:after="40"/>
            </w:pPr>
            <w:r>
              <w:rPr>
                <w:rFonts w:ascii="Calibri" w:hAnsi="Calibri"/>
                <w:b/>
                <w:color w:val="CC0000"/>
                <w:sz w:val="20"/>
              </w:rPr>
              <w:t>OFF-LABEL</w:t>
            </w:r>
          </w:p>
        </w:tc>
      </w:tr>
    </w:tbl>
    <w:p>
      <w:pPr>
        <w:spacing w:before="40" w:after="160"/>
      </w:pPr>
      <w:r>
        <w:rPr>
          <w:i/>
          <w:color w:val="666666"/>
          <w:sz w:val="16"/>
        </w:rPr>
        <w:t>Table: Protocols (TPS)</w:t>
      </w:r>
    </w:p>
    <w:p/>
    <w:p>
      <w:pPr>
        <w:spacing w:after="120"/>
      </w:pPr>
    </w:p>
    <w:p>
      <w:pPr>
        <w:spacing w:before="240" w:after="80"/>
      </w:pPr>
      <w:r>
        <w:rPr>
          <w:rFonts w:ascii="Calibri" w:hAnsi="Calibri"/>
          <w:b/>
          <w:color w:val="1B3A5C"/>
          <w:sz w:val="28"/>
        </w:rPr>
        <w:t>Safety &amp; Contraindications</w:t>
      </w:r>
    </w:p>
    <w:p>
      <w:pPr>
        <w:pBdr>
          <w:bottom w:val="single" w:sz="6" w:space="1" w:color="2E75B6"/>
        </w:pBdr>
        <w:spacing w:after="120"/>
      </w:pPr>
    </w:p>
    <w:p>
      <w:pPr>
        <w:spacing w:before="40" w:after="40"/>
      </w:pPr>
      <w:r>
        <w:rPr>
          <w:rFonts w:ascii="Calibri" w:hAnsi="Calibri"/>
          <w:color w:val="000000"/>
          <w:sz w:val="22"/>
        </w:rPr>
        <w:t>All neuromodulation treatments must be preceded by comprehensive safety screening. Patients must be monitored throughout each session.</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shd w:val="clear" w:color="auto" w:fill="1B3A5C"/>
            <w:vAlign w:val="center"/>
          </w:tcPr>
          <w:p>
            <w:pPr>
              <w:spacing w:before="60" w:after="60"/>
              <w:jc w:val="left"/>
            </w:pPr>
            <w:r>
              <w:rPr>
                <w:rFonts w:ascii="Calibri" w:hAnsi="Calibri"/>
                <w:b/>
                <w:color w:val="FFFFFF"/>
                <w:sz w:val="20"/>
              </w:rPr>
              <w:t>Category</w:t>
            </w:r>
          </w:p>
        </w:tc>
        <w:tc>
          <w:tcPr>
            <w:tcW w:type="dxa" w:w="2256"/>
            <w:shd w:val="clear" w:color="auto" w:fill="1B3A5C"/>
            <w:vAlign w:val="center"/>
          </w:tcPr>
          <w:p>
            <w:pPr>
              <w:spacing w:before="60" w:after="60"/>
              <w:jc w:val="left"/>
            </w:pPr>
            <w:r>
              <w:rPr>
                <w:rFonts w:ascii="Calibri" w:hAnsi="Calibri"/>
                <w:b/>
                <w:color w:val="FFFFFF"/>
                <w:sz w:val="20"/>
              </w:rPr>
              <w:t>Severity</w:t>
            </w:r>
          </w:p>
        </w:tc>
        <w:tc>
          <w:tcPr>
            <w:tcW w:type="dxa" w:w="2256"/>
            <w:shd w:val="clear" w:color="auto" w:fill="1B3A5C"/>
            <w:vAlign w:val="center"/>
          </w:tcPr>
          <w:p>
            <w:pPr>
              <w:spacing w:before="60" w:after="60"/>
              <w:jc w:val="left"/>
            </w:pPr>
            <w:r>
              <w:rPr>
                <w:rFonts w:ascii="Calibri" w:hAnsi="Calibri"/>
                <w:b/>
                <w:color w:val="FFFFFF"/>
                <w:sz w:val="20"/>
              </w:rPr>
              <w:t>Description</w:t>
            </w:r>
          </w:p>
        </w:tc>
        <w:tc>
          <w:tcPr>
            <w:tcW w:type="dxa" w:w="2256"/>
            <w:shd w:val="clear" w:color="auto" w:fill="1B3A5C"/>
            <w:vAlign w:val="center"/>
          </w:tcPr>
          <w:p>
            <w:pPr>
              <w:spacing w:before="60" w:after="60"/>
              <w:jc w:val="left"/>
            </w:pPr>
            <w:r>
              <w:rPr>
                <w:rFonts w:ascii="Calibri" w:hAnsi="Calibri"/>
                <w:b/>
                <w:color w:val="FFFFFF"/>
                <w:sz w:val="20"/>
              </w:rPr>
              <w:t>Source</w:t>
            </w:r>
          </w:p>
        </w:tc>
      </w:tr>
      <w:tr>
        <w:tc>
          <w:tcPr>
            <w:tcW w:type="dxa" w:w="2256"/>
            <w:shd w:val="clear" w:color="auto" w:fill="F2F2F2"/>
          </w:tcPr>
          <w:p>
            <w:pPr>
              <w:spacing w:before="40" w:after="40"/>
            </w:pPr>
            <w:r>
              <w:rPr>
                <w:rFonts w:ascii="Calibri" w:hAnsi="Calibri"/>
                <w:sz w:val="20"/>
              </w:rPr>
              <w:t>Contraindication</w:t>
            </w:r>
          </w:p>
        </w:tc>
        <w:tc>
          <w:tcPr>
            <w:tcW w:type="dxa" w:w="2256"/>
            <w:shd w:val="clear" w:color="auto" w:fill="F2F2F2"/>
          </w:tcPr>
          <w:p>
            <w:pPr>
              <w:spacing w:before="40" w:after="40"/>
            </w:pPr>
            <w:r>
              <w:rPr>
                <w:rFonts w:ascii="Calibri" w:hAnsi="Calibri"/>
                <w:sz w:val="20"/>
              </w:rPr>
              <w:t>ABSOLUTE</w:t>
            </w:r>
          </w:p>
        </w:tc>
        <w:tc>
          <w:tcPr>
            <w:tcW w:type="dxa" w:w="2256"/>
            <w:shd w:val="clear" w:color="auto" w:fill="F2F2F2"/>
          </w:tcPr>
          <w:p>
            <w:pPr>
              <w:spacing w:before="40" w:after="40"/>
            </w:pPr>
            <w:r>
              <w:rPr>
                <w:rFonts w:ascii="Calibri" w:hAnsi="Calibri"/>
                <w:sz w:val="20"/>
              </w:rPr>
              <w:t>Deep Brain Stimulator (DBS) implanted — absolute contraindication for TPS and tDCS due to DBS interaction risk.</w:t>
            </w:r>
          </w:p>
        </w:tc>
        <w:tc>
          <w:tcPr>
            <w:tcW w:type="dxa" w:w="2256"/>
            <w:shd w:val="clear" w:color="auto" w:fill="F2F2F2"/>
          </w:tcPr>
          <w:p>
            <w:pPr>
              <w:spacing w:before="40" w:after="40"/>
            </w:pPr>
            <w:r>
              <w:rPr>
                <w:rFonts w:ascii="Calibri" w:hAnsi="Calibri"/>
                <w:sz w:val="20"/>
              </w:rPr>
              <w:t>Device manufacturer guidelines</w:t>
            </w:r>
          </w:p>
        </w:tc>
      </w:tr>
      <w:tr>
        <w:tc>
          <w:tcPr>
            <w:tcW w:type="dxa" w:w="2256"/>
            <w:shd w:val="clear" w:color="auto" w:fill="FFFFFF"/>
          </w:tcPr>
          <w:p>
            <w:pPr>
              <w:spacing w:before="40" w:after="40"/>
            </w:pPr>
            <w:r>
              <w:rPr>
                <w:rFonts w:ascii="Calibri" w:hAnsi="Calibri"/>
                <w:sz w:val="20"/>
              </w:rPr>
              <w:t>Precaution</w:t>
            </w:r>
          </w:p>
        </w:tc>
        <w:tc>
          <w:tcPr>
            <w:tcW w:type="dxa" w:w="2256"/>
            <w:shd w:val="clear" w:color="auto" w:fill="FFFFFF"/>
          </w:tcPr>
          <w:p>
            <w:pPr>
              <w:spacing w:before="40" w:after="40"/>
            </w:pPr>
            <w:r>
              <w:rPr>
                <w:rFonts w:ascii="Calibri" w:hAnsi="Calibri"/>
                <w:sz w:val="20"/>
              </w:rPr>
              <w:t>MODERATE</w:t>
            </w:r>
          </w:p>
        </w:tc>
        <w:tc>
          <w:tcPr>
            <w:tcW w:type="dxa" w:w="2256"/>
            <w:shd w:val="clear" w:color="auto" w:fill="FFFFFF"/>
          </w:tcPr>
          <w:p>
            <w:pPr>
              <w:spacing w:before="40" w:after="40"/>
            </w:pPr>
            <w:r>
              <w:rPr>
                <w:rFonts w:ascii="Calibri" w:hAnsi="Calibri"/>
                <w:sz w:val="20"/>
              </w:rPr>
              <w:t>Unstable ON/OFF fluctuations — time sessions during stable ON window for TPS.</w:t>
            </w:r>
          </w:p>
        </w:tc>
        <w:tc>
          <w:tcPr>
            <w:tcW w:type="dxa" w:w="2256"/>
            <w:shd w:val="clear" w:color="auto" w:fill="FFFFFF"/>
          </w:tcPr>
          <w:p>
            <w:pPr>
              <w:spacing w:before="40" w:after="40"/>
            </w:pPr>
            <w:r>
              <w:rPr>
                <w:rFonts w:ascii="Calibri" w:hAnsi="Calibri"/>
                <w:sz w:val="20"/>
              </w:rPr>
              <w:t>Clinical practice</w:t>
            </w:r>
          </w:p>
        </w:tc>
      </w:tr>
      <w:tr>
        <w:tc>
          <w:tcPr>
            <w:tcW w:type="dxa" w:w="2256"/>
            <w:shd w:val="clear" w:color="auto" w:fill="F2F2F2"/>
          </w:tcPr>
          <w:p>
            <w:pPr>
              <w:spacing w:before="40" w:after="40"/>
            </w:pPr>
            <w:r>
              <w:rPr>
                <w:rFonts w:ascii="Calibri" w:hAnsi="Calibri"/>
                <w:sz w:val="20"/>
              </w:rPr>
              <w:t>Monitoring</w:t>
            </w:r>
          </w:p>
        </w:tc>
        <w:tc>
          <w:tcPr>
            <w:tcW w:type="dxa" w:w="2256"/>
            <w:shd w:val="clear" w:color="auto" w:fill="F2F2F2"/>
          </w:tcPr>
          <w:p>
            <w:pPr>
              <w:spacing w:before="40" w:after="40"/>
            </w:pPr>
            <w:r>
              <w:rPr>
                <w:rFonts w:ascii="Calibri" w:hAnsi="Calibri"/>
                <w:sz w:val="20"/>
              </w:rPr>
              <w:t>MODERATE</w:t>
            </w:r>
          </w:p>
        </w:tc>
        <w:tc>
          <w:tcPr>
            <w:tcW w:type="dxa" w:w="2256"/>
            <w:shd w:val="clear" w:color="auto" w:fill="F2F2F2"/>
          </w:tcPr>
          <w:p>
            <w:pPr>
              <w:spacing w:before="40" w:after="40"/>
            </w:pPr>
            <w:r>
              <w:rPr>
                <w:rFonts w:ascii="Calibri" w:hAnsi="Calibri"/>
                <w:sz w:val="20"/>
              </w:rPr>
              <w:t>Monitor for dyskinesia exacerbation during and after stimulation sessions.</w:t>
            </w:r>
          </w:p>
        </w:tc>
        <w:tc>
          <w:tcPr>
            <w:tcW w:type="dxa" w:w="2256"/>
            <w:shd w:val="clear" w:color="auto" w:fill="F2F2F2"/>
          </w:tcPr>
          <w:p>
            <w:pPr>
              <w:spacing w:before="40" w:after="40"/>
            </w:pPr>
            <w:r>
              <w:rPr>
                <w:rFonts w:ascii="Calibri" w:hAnsi="Calibri"/>
                <w:sz w:val="20"/>
              </w:rPr>
              <w:t>Clinical observation</w:t>
            </w:r>
          </w:p>
        </w:tc>
      </w:tr>
      <w:tr>
        <w:tc>
          <w:tcPr>
            <w:tcW w:type="dxa" w:w="2256"/>
            <w:shd w:val="clear" w:color="auto" w:fill="FFFFFF"/>
          </w:tcPr>
          <w:p>
            <w:pPr>
              <w:spacing w:before="40" w:after="40"/>
            </w:pPr>
            <w:r>
              <w:rPr>
                <w:rFonts w:ascii="Calibri" w:hAnsi="Calibri"/>
                <w:sz w:val="20"/>
              </w:rPr>
              <w:t>Precaution</w:t>
            </w:r>
          </w:p>
        </w:tc>
        <w:tc>
          <w:tcPr>
            <w:tcW w:type="dxa" w:w="2256"/>
            <w:shd w:val="clear" w:color="auto" w:fill="FFFFFF"/>
          </w:tcPr>
          <w:p>
            <w:pPr>
              <w:spacing w:before="40" w:after="40"/>
            </w:pPr>
            <w:r>
              <w:rPr>
                <w:rFonts w:ascii="Calibri" w:hAnsi="Calibri"/>
                <w:sz w:val="20"/>
              </w:rPr>
              <w:t>MODERATE</w:t>
            </w:r>
          </w:p>
        </w:tc>
        <w:tc>
          <w:tcPr>
            <w:tcW w:type="dxa" w:w="2256"/>
            <w:shd w:val="clear" w:color="auto" w:fill="FFFFFF"/>
          </w:tcPr>
          <w:p>
            <w:pPr>
              <w:spacing w:before="40" w:after="40"/>
            </w:pPr>
            <w:r>
              <w:rPr>
                <w:rFonts w:ascii="Calibri" w:hAnsi="Calibri"/>
                <w:sz w:val="20"/>
              </w:rPr>
              <w:t>Document levodopa equivalent dose (LED) and medication timing relative to sessions.</w:t>
            </w:r>
          </w:p>
        </w:tc>
        <w:tc>
          <w:tcPr>
            <w:tcW w:type="dxa" w:w="2256"/>
            <w:shd w:val="clear" w:color="auto" w:fill="FFFFFF"/>
          </w:tcPr>
          <w:p>
            <w:pPr>
              <w:spacing w:before="40" w:after="40"/>
            </w:pPr>
            <w:r>
              <w:rPr>
                <w:rFonts w:ascii="Calibri" w:hAnsi="Calibri"/>
                <w:sz w:val="20"/>
              </w:rPr>
              <w:t>SOZO clinical protocol</w:t>
            </w:r>
          </w:p>
        </w:tc>
      </w:tr>
      <w:tr>
        <w:tc>
          <w:tcPr>
            <w:tcW w:type="dxa" w:w="2256"/>
            <w:shd w:val="clear" w:color="auto" w:fill="F2F2F2"/>
          </w:tcPr>
          <w:p>
            <w:pPr>
              <w:spacing w:before="40" w:after="40"/>
            </w:pPr>
            <w:r>
              <w:rPr>
                <w:rFonts w:ascii="Calibri" w:hAnsi="Calibri"/>
                <w:sz w:val="20"/>
              </w:rPr>
              <w:t>Stopping_Rule</w:t>
            </w:r>
          </w:p>
        </w:tc>
        <w:tc>
          <w:tcPr>
            <w:tcW w:type="dxa" w:w="2256"/>
            <w:shd w:val="clear" w:color="auto" w:fill="F2F2F2"/>
          </w:tcPr>
          <w:p>
            <w:pPr>
              <w:spacing w:before="40" w:after="40"/>
            </w:pPr>
            <w:r>
              <w:rPr>
                <w:rFonts w:ascii="Calibri" w:hAnsi="Calibri"/>
                <w:sz w:val="20"/>
              </w:rPr>
              <w:t>HIGH</w:t>
            </w:r>
          </w:p>
        </w:tc>
        <w:tc>
          <w:tcPr>
            <w:tcW w:type="dxa" w:w="2256"/>
            <w:shd w:val="clear" w:color="auto" w:fill="F2F2F2"/>
          </w:tcPr>
          <w:p>
            <w:pPr>
              <w:spacing w:before="40" w:after="40"/>
            </w:pPr>
            <w:r>
              <w:rPr>
                <w:rFonts w:ascii="Calibri" w:hAnsi="Calibri"/>
                <w:sz w:val="20"/>
              </w:rPr>
              <w:t>Discontinue if new or worsened dyskinesia persists &gt;24 hours post-stimulation.</w:t>
            </w:r>
          </w:p>
        </w:tc>
        <w:tc>
          <w:tcPr>
            <w:tcW w:type="dxa" w:w="2256"/>
            <w:shd w:val="clear" w:color="auto" w:fill="F2F2F2"/>
          </w:tcPr>
          <w:p>
            <w:pPr>
              <w:spacing w:before="40" w:after="40"/>
            </w:pPr>
            <w:r>
              <w:rPr>
                <w:rFonts w:ascii="Calibri" w:hAnsi="Calibri"/>
                <w:sz w:val="20"/>
              </w:rPr>
              <w:t>Clinical safety protocol</w:t>
            </w:r>
          </w:p>
        </w:tc>
      </w:tr>
      <w:tr>
        <w:tc>
          <w:tcPr>
            <w:tcW w:type="dxa" w:w="2256"/>
            <w:shd w:val="clear" w:color="auto" w:fill="FFFFFF"/>
          </w:tcPr>
          <w:p>
            <w:pPr>
              <w:spacing w:before="40" w:after="40"/>
            </w:pPr>
            <w:r>
              <w:rPr>
                <w:rFonts w:ascii="Calibri" w:hAnsi="Calibri"/>
                <w:sz w:val="20"/>
              </w:rPr>
              <w:t>Contraindication</w:t>
            </w:r>
          </w:p>
        </w:tc>
        <w:tc>
          <w:tcPr>
            <w:tcW w:type="dxa" w:w="2256"/>
            <w:shd w:val="clear" w:color="auto" w:fill="FFFFFF"/>
          </w:tcPr>
          <w:p>
            <w:pPr>
              <w:spacing w:before="40" w:after="40"/>
            </w:pPr>
            <w:r>
              <w:rPr>
                <w:rFonts w:ascii="Calibri" w:hAnsi="Calibri"/>
                <w:sz w:val="20"/>
              </w:rPr>
              <w:t>ABSOLUTE</w:t>
            </w:r>
          </w:p>
        </w:tc>
        <w:tc>
          <w:tcPr>
            <w:tcW w:type="dxa" w:w="2256"/>
            <w:shd w:val="clear" w:color="auto" w:fill="FFFFFF"/>
          </w:tcPr>
          <w:p>
            <w:pPr>
              <w:spacing w:before="40" w:after="40"/>
            </w:pPr>
            <w:r>
              <w:rPr>
                <w:rFonts w:ascii="Calibri" w:hAnsi="Calibri"/>
                <w:sz w:val="20"/>
              </w:rPr>
              <w:t>Deep Brain Stimulator (DBS) implanted</w:t>
            </w:r>
          </w:p>
        </w:tc>
        <w:tc>
          <w:tcPr>
            <w:tcW w:type="dxa" w:w="2256"/>
            <w:shd w:val="clear" w:color="auto" w:fill="FFFFFF"/>
          </w:tcPr>
          <w:p>
            <w:pPr>
              <w:spacing w:before="40" w:after="40"/>
            </w:pPr>
            <w:r>
              <w:rPr>
                <w:rFonts w:ascii="Calibri" w:hAnsi="Calibri"/>
                <w:sz w:val="20"/>
              </w:rPr>
              <w:t>Clinical guidelines</w:t>
            </w:r>
          </w:p>
        </w:tc>
      </w:tr>
      <w:tr>
        <w:tc>
          <w:tcPr>
            <w:tcW w:type="dxa" w:w="2256"/>
            <w:shd w:val="clear" w:color="auto" w:fill="F2F2F2"/>
          </w:tcPr>
          <w:p>
            <w:pPr>
              <w:spacing w:before="40" w:after="40"/>
            </w:pPr>
            <w:r>
              <w:rPr>
                <w:rFonts w:ascii="Calibri" w:hAnsi="Calibri"/>
                <w:sz w:val="20"/>
              </w:rPr>
              <w:t>Contraindication</w:t>
            </w:r>
          </w:p>
        </w:tc>
        <w:tc>
          <w:tcPr>
            <w:tcW w:type="dxa" w:w="2256"/>
            <w:shd w:val="clear" w:color="auto" w:fill="F2F2F2"/>
          </w:tcPr>
          <w:p>
            <w:pPr>
              <w:spacing w:before="40" w:after="40"/>
            </w:pPr>
            <w:r>
              <w:rPr>
                <w:rFonts w:ascii="Calibri" w:hAnsi="Calibri"/>
                <w:sz w:val="20"/>
              </w:rPr>
              <w:t>ABSOLUTE</w:t>
            </w:r>
          </w:p>
        </w:tc>
        <w:tc>
          <w:tcPr>
            <w:tcW w:type="dxa" w:w="2256"/>
            <w:shd w:val="clear" w:color="auto" w:fill="F2F2F2"/>
          </w:tcPr>
          <w:p>
            <w:pPr>
              <w:spacing w:before="40" w:after="40"/>
            </w:pPr>
            <w:r>
              <w:rPr>
                <w:rFonts w:ascii="Calibri" w:hAnsi="Calibri"/>
                <w:sz w:val="20"/>
              </w:rPr>
              <w:t>Active seizure disorder or epilepsy</w:t>
            </w:r>
          </w:p>
        </w:tc>
        <w:tc>
          <w:tcPr>
            <w:tcW w:type="dxa" w:w="2256"/>
            <w:shd w:val="clear" w:color="auto" w:fill="F2F2F2"/>
          </w:tcPr>
          <w:p>
            <w:pPr>
              <w:spacing w:before="40" w:after="40"/>
            </w:pPr>
            <w:r>
              <w:rPr>
                <w:rFonts w:ascii="Calibri" w:hAnsi="Calibri"/>
                <w:sz w:val="20"/>
              </w:rPr>
              <w:t>Clinical guidelines</w:t>
            </w:r>
          </w:p>
        </w:tc>
      </w:tr>
      <w:tr>
        <w:tc>
          <w:tcPr>
            <w:tcW w:type="dxa" w:w="2256"/>
            <w:shd w:val="clear" w:color="auto" w:fill="FFFFFF"/>
          </w:tcPr>
          <w:p>
            <w:pPr>
              <w:spacing w:before="40" w:after="40"/>
            </w:pPr>
            <w:r>
              <w:rPr>
                <w:rFonts w:ascii="Calibri" w:hAnsi="Calibri"/>
                <w:sz w:val="20"/>
              </w:rPr>
              <w:t>Contraindication</w:t>
            </w:r>
          </w:p>
        </w:tc>
        <w:tc>
          <w:tcPr>
            <w:tcW w:type="dxa" w:w="2256"/>
            <w:shd w:val="clear" w:color="auto" w:fill="FFFFFF"/>
          </w:tcPr>
          <w:p>
            <w:pPr>
              <w:spacing w:before="40" w:after="40"/>
            </w:pPr>
            <w:r>
              <w:rPr>
                <w:rFonts w:ascii="Calibri" w:hAnsi="Calibri"/>
                <w:sz w:val="20"/>
              </w:rPr>
              <w:t>ABSOLUTE</w:t>
            </w:r>
          </w:p>
        </w:tc>
        <w:tc>
          <w:tcPr>
            <w:tcW w:type="dxa" w:w="2256"/>
            <w:shd w:val="clear" w:color="auto" w:fill="FFFFFF"/>
          </w:tcPr>
          <w:p>
            <w:pPr>
              <w:spacing w:before="40" w:after="40"/>
            </w:pPr>
            <w:r>
              <w:rPr>
                <w:rFonts w:ascii="Calibri" w:hAnsi="Calibri"/>
                <w:sz w:val="20"/>
              </w:rPr>
              <w:t>Metallic cranial implants in stimulation path</w:t>
            </w:r>
          </w:p>
        </w:tc>
        <w:tc>
          <w:tcPr>
            <w:tcW w:type="dxa" w:w="2256"/>
            <w:shd w:val="clear" w:color="auto" w:fill="FFFFFF"/>
          </w:tcPr>
          <w:p>
            <w:pPr>
              <w:spacing w:before="40" w:after="40"/>
            </w:pPr>
            <w:r>
              <w:rPr>
                <w:rFonts w:ascii="Calibri" w:hAnsi="Calibri"/>
                <w:sz w:val="20"/>
              </w:rPr>
              <w:t>Clinical guidelines</w:t>
            </w:r>
          </w:p>
        </w:tc>
      </w:tr>
      <w:tr>
        <w:tc>
          <w:tcPr>
            <w:tcW w:type="dxa" w:w="2256"/>
            <w:shd w:val="clear" w:color="auto" w:fill="F2F2F2"/>
          </w:tcPr>
          <w:p>
            <w:pPr>
              <w:spacing w:before="40" w:after="40"/>
            </w:pPr>
            <w:r>
              <w:rPr>
                <w:rFonts w:ascii="Calibri" w:hAnsi="Calibri"/>
                <w:sz w:val="20"/>
              </w:rPr>
              <w:t>Contraindication</w:t>
            </w:r>
          </w:p>
        </w:tc>
        <w:tc>
          <w:tcPr>
            <w:tcW w:type="dxa" w:w="2256"/>
            <w:shd w:val="clear" w:color="auto" w:fill="F2F2F2"/>
          </w:tcPr>
          <w:p>
            <w:pPr>
              <w:spacing w:before="40" w:after="40"/>
            </w:pPr>
            <w:r>
              <w:rPr>
                <w:rFonts w:ascii="Calibri" w:hAnsi="Calibri"/>
                <w:sz w:val="20"/>
              </w:rPr>
              <w:t>ABSOLUTE</w:t>
            </w:r>
          </w:p>
        </w:tc>
        <w:tc>
          <w:tcPr>
            <w:tcW w:type="dxa" w:w="2256"/>
            <w:shd w:val="clear" w:color="auto" w:fill="F2F2F2"/>
          </w:tcPr>
          <w:p>
            <w:pPr>
              <w:spacing w:before="40" w:after="40"/>
            </w:pPr>
            <w:r>
              <w:rPr>
                <w:rFonts w:ascii="Calibri" w:hAnsi="Calibri"/>
                <w:sz w:val="20"/>
              </w:rPr>
              <w:t>Unstable medical conditions (e.g. recent stroke &lt;3 months)</w:t>
            </w:r>
          </w:p>
        </w:tc>
        <w:tc>
          <w:tcPr>
            <w:tcW w:type="dxa" w:w="2256"/>
            <w:shd w:val="clear" w:color="auto" w:fill="F2F2F2"/>
          </w:tcPr>
          <w:p>
            <w:pPr>
              <w:spacing w:before="40" w:after="40"/>
            </w:pPr>
            <w:r>
              <w:rPr>
                <w:rFonts w:ascii="Calibri" w:hAnsi="Calibri"/>
                <w:sz w:val="20"/>
              </w:rPr>
              <w:t>Clinical guidelines</w:t>
            </w:r>
          </w:p>
        </w:tc>
      </w:tr>
      <w:tr>
        <w:tc>
          <w:tcPr>
            <w:tcW w:type="dxa" w:w="2256"/>
            <w:shd w:val="clear" w:color="auto" w:fill="FFFFFF"/>
          </w:tcPr>
          <w:p>
            <w:pPr>
              <w:spacing w:before="40" w:after="40"/>
            </w:pPr>
            <w:r>
              <w:rPr>
                <w:rFonts w:ascii="Calibri" w:hAnsi="Calibri"/>
                <w:sz w:val="20"/>
              </w:rPr>
              <w:t>Contraindication</w:t>
            </w:r>
          </w:p>
        </w:tc>
        <w:tc>
          <w:tcPr>
            <w:tcW w:type="dxa" w:w="2256"/>
            <w:shd w:val="clear" w:color="auto" w:fill="FFFFFF"/>
          </w:tcPr>
          <w:p>
            <w:pPr>
              <w:spacing w:before="40" w:after="40"/>
            </w:pPr>
            <w:r>
              <w:rPr>
                <w:rFonts w:ascii="Calibri" w:hAnsi="Calibri"/>
                <w:sz w:val="20"/>
              </w:rPr>
              <w:t>ABSOLUTE</w:t>
            </w:r>
          </w:p>
        </w:tc>
        <w:tc>
          <w:tcPr>
            <w:tcW w:type="dxa" w:w="2256"/>
            <w:shd w:val="clear" w:color="auto" w:fill="FFFFFF"/>
          </w:tcPr>
          <w:p>
            <w:pPr>
              <w:spacing w:before="40" w:after="40"/>
            </w:pPr>
            <w:r>
              <w:rPr>
                <w:rFonts w:ascii="Calibri" w:hAnsi="Calibri"/>
                <w:sz w:val="20"/>
              </w:rPr>
              <w:t>Pregnancy</w:t>
            </w:r>
          </w:p>
        </w:tc>
        <w:tc>
          <w:tcPr>
            <w:tcW w:type="dxa" w:w="2256"/>
            <w:shd w:val="clear" w:color="auto" w:fill="FFFFFF"/>
          </w:tcPr>
          <w:p>
            <w:pPr>
              <w:spacing w:before="40" w:after="40"/>
            </w:pPr>
            <w:r>
              <w:rPr>
                <w:rFonts w:ascii="Calibri" w:hAnsi="Calibri"/>
                <w:sz w:val="20"/>
              </w:rPr>
              <w:t>Clinical guidelines</w:t>
            </w:r>
          </w:p>
        </w:tc>
      </w:tr>
    </w:tbl>
    <w:p>
      <w:pPr>
        <w:spacing w:before="40" w:after="160"/>
      </w:pPr>
      <w:r>
        <w:rPr>
          <w:i/>
          <w:color w:val="666666"/>
          <w:sz w:val="16"/>
        </w:rPr>
        <w:t>Table: Safety &amp; Contraindications</w:t>
      </w:r>
    </w:p>
    <w:p/>
    <w:p>
      <w:pPr>
        <w:spacing w:after="120"/>
      </w:pPr>
    </w:p>
    <w:p>
      <w:pPr>
        <w:spacing w:before="240" w:after="80"/>
      </w:pPr>
      <w:r>
        <w:rPr>
          <w:rFonts w:ascii="Calibri" w:hAnsi="Calibri"/>
          <w:b/>
          <w:color w:val="1B3A5C"/>
          <w:sz w:val="28"/>
        </w:rPr>
        <w:t>Assessment Tools &amp; Outcome Measures</w:t>
      </w:r>
    </w:p>
    <w:p>
      <w:pPr>
        <w:pBdr>
          <w:bottom w:val="single" w:sz="6" w:space="1" w:color="2E75B6"/>
        </w:pBdr>
        <w:spacing w:after="120"/>
      </w:pP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805"/>
            <w:shd w:val="clear" w:color="auto" w:fill="1B3A5C"/>
            <w:vAlign w:val="center"/>
          </w:tcPr>
          <w:p>
            <w:pPr>
              <w:spacing w:before="60" w:after="60"/>
              <w:jc w:val="left"/>
            </w:pPr>
            <w:r>
              <w:rPr>
                <w:rFonts w:ascii="Calibri" w:hAnsi="Calibri"/>
                <w:b/>
                <w:color w:val="FFFFFF"/>
                <w:sz w:val="20"/>
              </w:rPr>
              <w:t>Scale</w:t>
            </w:r>
          </w:p>
        </w:tc>
        <w:tc>
          <w:tcPr>
            <w:tcW w:type="dxa" w:w="1805"/>
            <w:shd w:val="clear" w:color="auto" w:fill="1B3A5C"/>
            <w:vAlign w:val="center"/>
          </w:tcPr>
          <w:p>
            <w:pPr>
              <w:spacing w:before="60" w:after="60"/>
              <w:jc w:val="left"/>
            </w:pPr>
            <w:r>
              <w:rPr>
                <w:rFonts w:ascii="Calibri" w:hAnsi="Calibri"/>
                <w:b/>
                <w:color w:val="FFFFFF"/>
                <w:sz w:val="20"/>
              </w:rPr>
              <w:t>Full Name</w:t>
            </w:r>
          </w:p>
        </w:tc>
        <w:tc>
          <w:tcPr>
            <w:tcW w:type="dxa" w:w="1805"/>
            <w:shd w:val="clear" w:color="auto" w:fill="1B3A5C"/>
            <w:vAlign w:val="center"/>
          </w:tcPr>
          <w:p>
            <w:pPr>
              <w:spacing w:before="60" w:after="60"/>
              <w:jc w:val="left"/>
            </w:pPr>
            <w:r>
              <w:rPr>
                <w:rFonts w:ascii="Calibri" w:hAnsi="Calibri"/>
                <w:b/>
                <w:color w:val="FFFFFF"/>
                <w:sz w:val="20"/>
              </w:rPr>
              <w:t>Domains</w:t>
            </w:r>
          </w:p>
        </w:tc>
        <w:tc>
          <w:tcPr>
            <w:tcW w:type="dxa" w:w="1805"/>
            <w:shd w:val="clear" w:color="auto" w:fill="1B3A5C"/>
            <w:vAlign w:val="center"/>
          </w:tcPr>
          <w:p>
            <w:pPr>
              <w:spacing w:before="60" w:after="60"/>
              <w:jc w:val="left"/>
            </w:pPr>
            <w:r>
              <w:rPr>
                <w:rFonts w:ascii="Calibri" w:hAnsi="Calibri"/>
                <w:b/>
                <w:color w:val="FFFFFF"/>
                <w:sz w:val="20"/>
              </w:rPr>
              <w:t>Timing</w:t>
            </w:r>
          </w:p>
        </w:tc>
        <w:tc>
          <w:tcPr>
            <w:tcW w:type="dxa" w:w="1805"/>
            <w:shd w:val="clear" w:color="auto" w:fill="1B3A5C"/>
            <w:vAlign w:val="center"/>
          </w:tcPr>
          <w:p>
            <w:pPr>
              <w:spacing w:before="60" w:after="60"/>
              <w:jc w:val="left"/>
            </w:pPr>
            <w:r>
              <w:rPr>
                <w:rFonts w:ascii="Calibri" w:hAnsi="Calibri"/>
                <w:b/>
                <w:color w:val="FFFFFF"/>
                <w:sz w:val="20"/>
              </w:rPr>
              <w:t>Evidence PMID</w:t>
            </w:r>
          </w:p>
        </w:tc>
      </w:tr>
      <w:tr>
        <w:tc>
          <w:tcPr>
            <w:tcW w:type="dxa" w:w="1805"/>
            <w:shd w:val="clear" w:color="auto" w:fill="F2F2F2"/>
          </w:tcPr>
          <w:p>
            <w:pPr>
              <w:spacing w:before="40" w:after="40"/>
            </w:pPr>
            <w:r>
              <w:rPr>
                <w:rFonts w:ascii="Calibri" w:hAnsi="Calibri"/>
                <w:sz w:val="20"/>
              </w:rPr>
              <w:t>updrs</w:t>
            </w:r>
          </w:p>
        </w:tc>
        <w:tc>
          <w:tcPr>
            <w:tcW w:type="dxa" w:w="1805"/>
            <w:shd w:val="clear" w:color="auto" w:fill="F2F2F2"/>
          </w:tcPr>
          <w:p>
            <w:pPr>
              <w:spacing w:before="40" w:after="40"/>
            </w:pPr>
            <w:r>
              <w:rPr>
                <w:rFonts w:ascii="Calibri" w:hAnsi="Calibri"/>
                <w:sz w:val="20"/>
              </w:rPr>
              <w:t>updrs</w:t>
            </w:r>
          </w:p>
        </w:tc>
        <w:tc>
          <w:tcPr>
            <w:tcW w:type="dxa" w:w="1805"/>
            <w:shd w:val="clear" w:color="auto" w:fill="F2F2F2"/>
          </w:tcPr>
          <w:p>
            <w:pPr>
              <w:spacing w:before="40" w:after="40"/>
            </w:pPr>
            <w:r>
              <w:rPr>
                <w:rFonts w:ascii="Calibri" w:hAnsi="Calibri"/>
                <w:sz w:val="20"/>
              </w:rPr>
            </w:r>
          </w:p>
        </w:tc>
        <w:tc>
          <w:tcPr>
            <w:tcW w:type="dxa" w:w="1805"/>
            <w:shd w:val="clear" w:color="auto" w:fill="F2F2F2"/>
          </w:tcPr>
          <w:p>
            <w:pPr>
              <w:spacing w:before="40" w:after="40"/>
            </w:pPr>
            <w:r>
              <w:rPr>
                <w:rFonts w:ascii="Calibri" w:hAnsi="Calibri"/>
                <w:sz w:val="20"/>
              </w:rPr>
              <w:t>baseline</w:t>
            </w:r>
          </w:p>
        </w:tc>
        <w:tc>
          <w:tcPr>
            <w:tcW w:type="dxa" w:w="1805"/>
            <w:shd w:val="clear" w:color="auto" w:fill="F2F2F2"/>
          </w:tcPr>
          <w:p>
            <w:pPr>
              <w:spacing w:before="40" w:after="40"/>
            </w:pPr>
            <w:r>
              <w:rPr>
                <w:rFonts w:ascii="Calibri" w:hAnsi="Calibri"/>
                <w:sz w:val="20"/>
              </w:rPr>
            </w:r>
          </w:p>
        </w:tc>
      </w:tr>
      <w:tr>
        <w:tc>
          <w:tcPr>
            <w:tcW w:type="dxa" w:w="1805"/>
            <w:shd w:val="clear" w:color="auto" w:fill="FFFFFF"/>
          </w:tcPr>
          <w:p>
            <w:pPr>
              <w:spacing w:before="40" w:after="40"/>
            </w:pPr>
            <w:r>
              <w:rPr>
                <w:rFonts w:ascii="Calibri" w:hAnsi="Calibri"/>
                <w:sz w:val="20"/>
              </w:rPr>
              <w:t>moca</w:t>
            </w:r>
          </w:p>
        </w:tc>
        <w:tc>
          <w:tcPr>
            <w:tcW w:type="dxa" w:w="1805"/>
            <w:shd w:val="clear" w:color="auto" w:fill="FFFFFF"/>
          </w:tcPr>
          <w:p>
            <w:pPr>
              <w:spacing w:before="40" w:after="40"/>
            </w:pPr>
            <w:r>
              <w:rPr>
                <w:rFonts w:ascii="Calibri" w:hAnsi="Calibri"/>
                <w:sz w:val="20"/>
              </w:rPr>
              <w:t>moca</w:t>
            </w:r>
          </w:p>
        </w:tc>
        <w:tc>
          <w:tcPr>
            <w:tcW w:type="dxa" w:w="1805"/>
            <w:shd w:val="clear" w:color="auto" w:fill="FFFFFF"/>
          </w:tcPr>
          <w:p>
            <w:pPr>
              <w:spacing w:before="40" w:after="40"/>
            </w:pPr>
            <w:r>
              <w:rPr>
                <w:rFonts w:ascii="Calibri" w:hAnsi="Calibri"/>
                <w:sz w:val="20"/>
              </w:rPr>
            </w:r>
          </w:p>
        </w:tc>
        <w:tc>
          <w:tcPr>
            <w:tcW w:type="dxa" w:w="1805"/>
            <w:shd w:val="clear" w:color="auto" w:fill="FFFFFF"/>
          </w:tcPr>
          <w:p>
            <w:pPr>
              <w:spacing w:before="40" w:after="40"/>
            </w:pPr>
            <w:r>
              <w:rPr>
                <w:rFonts w:ascii="Calibri" w:hAnsi="Calibri"/>
                <w:sz w:val="20"/>
              </w:rPr>
              <w:t>baseline</w:t>
            </w:r>
          </w:p>
        </w:tc>
        <w:tc>
          <w:tcPr>
            <w:tcW w:type="dxa" w:w="1805"/>
            <w:shd w:val="clear" w:color="auto" w:fill="FFFFFF"/>
          </w:tcPr>
          <w:p>
            <w:pPr>
              <w:spacing w:before="40" w:after="40"/>
            </w:pPr>
            <w:r>
              <w:rPr>
                <w:rFonts w:ascii="Calibri" w:hAnsi="Calibri"/>
                <w:sz w:val="20"/>
              </w:rPr>
            </w:r>
          </w:p>
        </w:tc>
      </w:tr>
      <w:tr>
        <w:tc>
          <w:tcPr>
            <w:tcW w:type="dxa" w:w="1805"/>
            <w:shd w:val="clear" w:color="auto" w:fill="F2F2F2"/>
          </w:tcPr>
          <w:p>
            <w:pPr>
              <w:spacing w:before="40" w:after="40"/>
            </w:pPr>
            <w:r>
              <w:rPr>
                <w:rFonts w:ascii="Calibri" w:hAnsi="Calibri"/>
                <w:sz w:val="20"/>
              </w:rPr>
              <w:t>phq9</w:t>
            </w:r>
          </w:p>
        </w:tc>
        <w:tc>
          <w:tcPr>
            <w:tcW w:type="dxa" w:w="1805"/>
            <w:shd w:val="clear" w:color="auto" w:fill="F2F2F2"/>
          </w:tcPr>
          <w:p>
            <w:pPr>
              <w:spacing w:before="40" w:after="40"/>
            </w:pPr>
            <w:r>
              <w:rPr>
                <w:rFonts w:ascii="Calibri" w:hAnsi="Calibri"/>
                <w:sz w:val="20"/>
              </w:rPr>
              <w:t>phq9</w:t>
            </w:r>
          </w:p>
        </w:tc>
        <w:tc>
          <w:tcPr>
            <w:tcW w:type="dxa" w:w="1805"/>
            <w:shd w:val="clear" w:color="auto" w:fill="F2F2F2"/>
          </w:tcPr>
          <w:p>
            <w:pPr>
              <w:spacing w:before="40" w:after="40"/>
            </w:pPr>
            <w:r>
              <w:rPr>
                <w:rFonts w:ascii="Calibri" w:hAnsi="Calibri"/>
                <w:sz w:val="20"/>
              </w:rPr>
            </w:r>
          </w:p>
        </w:tc>
        <w:tc>
          <w:tcPr>
            <w:tcW w:type="dxa" w:w="1805"/>
            <w:shd w:val="clear" w:color="auto" w:fill="F2F2F2"/>
          </w:tcPr>
          <w:p>
            <w:pPr>
              <w:spacing w:before="40" w:after="40"/>
            </w:pPr>
            <w:r>
              <w:rPr>
                <w:rFonts w:ascii="Calibri" w:hAnsi="Calibri"/>
                <w:sz w:val="20"/>
              </w:rPr>
              <w:t>baseline</w:t>
            </w:r>
          </w:p>
        </w:tc>
        <w:tc>
          <w:tcPr>
            <w:tcW w:type="dxa" w:w="1805"/>
            <w:shd w:val="clear" w:color="auto" w:fill="F2F2F2"/>
          </w:tcPr>
          <w:p>
            <w:pPr>
              <w:spacing w:before="40" w:after="40"/>
            </w:pPr>
            <w:r>
              <w:rPr>
                <w:rFonts w:ascii="Calibri" w:hAnsi="Calibri"/>
                <w:sz w:val="20"/>
              </w:rPr>
            </w:r>
          </w:p>
        </w:tc>
      </w:tr>
      <w:tr>
        <w:tc>
          <w:tcPr>
            <w:tcW w:type="dxa" w:w="1805"/>
            <w:shd w:val="clear" w:color="auto" w:fill="FFFFFF"/>
          </w:tcPr>
          <w:p>
            <w:pPr>
              <w:spacing w:before="40" w:after="40"/>
            </w:pPr>
            <w:r>
              <w:rPr>
                <w:rFonts w:ascii="Calibri" w:hAnsi="Calibri"/>
                <w:sz w:val="20"/>
              </w:rPr>
              <w:t>fog_q</w:t>
            </w:r>
          </w:p>
        </w:tc>
        <w:tc>
          <w:tcPr>
            <w:tcW w:type="dxa" w:w="1805"/>
            <w:shd w:val="clear" w:color="auto" w:fill="FFFFFF"/>
          </w:tcPr>
          <w:p>
            <w:pPr>
              <w:spacing w:before="40" w:after="40"/>
            </w:pPr>
            <w:r>
              <w:rPr>
                <w:rFonts w:ascii="Calibri" w:hAnsi="Calibri"/>
                <w:sz w:val="20"/>
              </w:rPr>
              <w:t>fog_q</w:t>
            </w:r>
          </w:p>
        </w:tc>
        <w:tc>
          <w:tcPr>
            <w:tcW w:type="dxa" w:w="1805"/>
            <w:shd w:val="clear" w:color="auto" w:fill="FFFFFF"/>
          </w:tcPr>
          <w:p>
            <w:pPr>
              <w:spacing w:before="40" w:after="40"/>
            </w:pPr>
            <w:r>
              <w:rPr>
                <w:rFonts w:ascii="Calibri" w:hAnsi="Calibri"/>
                <w:sz w:val="20"/>
              </w:rPr>
            </w:r>
          </w:p>
        </w:tc>
        <w:tc>
          <w:tcPr>
            <w:tcW w:type="dxa" w:w="1805"/>
            <w:shd w:val="clear" w:color="auto" w:fill="FFFFFF"/>
          </w:tcPr>
          <w:p>
            <w:pPr>
              <w:spacing w:before="40" w:after="40"/>
            </w:pPr>
            <w:r>
              <w:rPr>
                <w:rFonts w:ascii="Calibri" w:hAnsi="Calibri"/>
                <w:sz w:val="20"/>
              </w:rPr>
              <w:t>baseline</w:t>
            </w:r>
          </w:p>
        </w:tc>
        <w:tc>
          <w:tcPr>
            <w:tcW w:type="dxa" w:w="1805"/>
            <w:shd w:val="clear" w:color="auto" w:fill="FFFFFF"/>
          </w:tcPr>
          <w:p>
            <w:pPr>
              <w:spacing w:before="40" w:after="40"/>
            </w:pPr>
            <w:r>
              <w:rPr>
                <w:rFonts w:ascii="Calibri" w:hAnsi="Calibri"/>
                <w:sz w:val="20"/>
              </w:rPr>
            </w:r>
          </w:p>
        </w:tc>
      </w:tr>
    </w:tbl>
    <w:p>
      <w:pPr>
        <w:spacing w:before="40" w:after="160"/>
      </w:pPr>
      <w:r>
        <w:rPr>
          <w:i/>
          <w:color w:val="666666"/>
          <w:sz w:val="16"/>
        </w:rPr>
        <w:t>Table: Assessment Tools</w:t>
      </w:r>
    </w:p>
    <w:p/>
    <w:p>
      <w:pPr>
        <w:spacing w:after="120"/>
      </w:pPr>
    </w:p>
    <w:p>
      <w:pPr>
        <w:spacing w:before="240" w:after="80"/>
      </w:pPr>
      <w:r>
        <w:rPr>
          <w:rFonts w:ascii="Calibri" w:hAnsi="Calibri"/>
          <w:b/>
          <w:color w:val="1B3A5C"/>
          <w:sz w:val="28"/>
        </w:rPr>
        <w:t>Responder Criteria &amp; Tracking</w:t>
      </w:r>
    </w:p>
    <w:p>
      <w:pPr>
        <w:pBdr>
          <w:bottom w:val="single" w:sz="6" w:space="1" w:color="2E75B6"/>
        </w:pBdr>
        <w:spacing w:after="120"/>
      </w:pPr>
    </w:p>
    <w:p>
      <w:pPr>
        <w:spacing w:before="40" w:after="40"/>
      </w:pPr>
      <w:r>
        <w:rPr>
          <w:rFonts w:ascii="Calibri" w:hAnsi="Calibri"/>
          <w:color w:val="000000"/>
          <w:sz w:val="22"/>
        </w:rPr>
        <w:t>If &lt;30% improvement on MDS-UPDRS III after 10 sessions: review phenotype assignment, consider protocol switch (e.g. add cerebellar target for tremor), escalate to multi-modal combination, or refer for DBS evaluation.</w:t>
      </w:r>
    </w:p>
    <w:p>
      <w:pPr>
        <w:spacing w:after="120"/>
      </w:pPr>
    </w:p>
    <w:p>
      <w:pPr>
        <w:spacing w:before="240" w:after="80"/>
      </w:pPr>
      <w:r>
        <w:rPr>
          <w:rFonts w:ascii="Calibri" w:hAnsi="Calibri"/>
          <w:b/>
          <w:color w:val="1B3A5C"/>
          <w:sz w:val="28"/>
        </w:rPr>
        <w:t>Follow-Up Assessments and Decision-Making</w:t>
      </w:r>
    </w:p>
    <w:p>
      <w:pPr>
        <w:pBdr>
          <w:bottom w:val="single" w:sz="6" w:space="1" w:color="2E75B6"/>
        </w:pBdr>
        <w:spacing w:after="120"/>
      </w:pPr>
    </w:p>
    <w:p>
      <w:pPr>
        <w:spacing w:before="40" w:after="40"/>
      </w:pPr>
      <w:r>
        <w:rPr>
          <w:rFonts w:ascii="Calibri" w:hAnsi="Calibri"/>
          <w:color w:val="000000"/>
          <w:sz w:val="22"/>
        </w:rPr>
        <w:t>Follow-up assessments are conducted at Week 4 and Week 8-10 using validated outcome measures. Response classification uses SOZO operational criteria. See Responder Tracking document for full decision pathway.</w:t>
      </w:r>
    </w:p>
    <w:p>
      <w:pPr>
        <w:spacing w:after="120"/>
      </w:pPr>
    </w:p>
    <w:p>
      <w:pPr>
        <w:spacing w:before="240" w:after="80"/>
      </w:pPr>
      <w:r>
        <w:rPr>
          <w:rFonts w:ascii="Calibri" w:hAnsi="Calibri"/>
          <w:b/>
          <w:color w:val="1B3A5C"/>
          <w:sz w:val="28"/>
        </w:rPr>
        <w:t>Evidence Summary &amp; Gaps</w:t>
      </w:r>
    </w:p>
    <w:p>
      <w:pPr>
        <w:pBdr>
          <w:bottom w:val="single" w:sz="6" w:space="1" w:color="2E75B6"/>
        </w:pBdr>
        <w:spacing w:after="120"/>
      </w:pPr>
    </w:p>
    <w:p>
      <w:pPr>
        <w:spacing w:before="40" w:after="40"/>
      </w:pPr>
      <w:r>
        <w:rPr>
          <w:rFonts w:ascii="Calibri" w:hAnsi="Calibri"/>
          <w:color w:val="000000"/>
          <w:sz w:val="22"/>
        </w:rPr>
        <w:t>Parkinson's Disease represents the strongest neuromodulation evidence base among SOZO conditions. tDCS: Multiple sham-controlled RCTs (Benninger 2010, Boggio 2006, Khedr 2013, Doruk 2014) demonstrate significant improvements in UPDRS motor scores with M1 anodal tDCS. Meta-analyses (Doruk Cengiz et al. 2020) confirm medium effect sizes for motor outcomes. Cognitive tDCS (DLPFC): moderate evidence from smaller trials. TPS: Emerging evidence from Koch et al. (2019) and subsequent studies using NEUROLITH; OFF-LABEL for PD. taVNS and CES: Limited PD-specific evidence; broader neuropsychiatric evidence supports adjunct use.</w:t>
      </w:r>
    </w:p>
    <w:p>
      <w:pPr>
        <w:spacing w:before="40" w:after="40"/>
      </w:pPr>
      <w:r>
        <w:rPr>
          <w:rFonts w:ascii="Calibri" w:hAnsi="Calibri"/>
          <w:color w:val="000000"/>
          <w:sz w:val="22"/>
        </w:rPr>
        <w:t>high</w:t>
      </w:r>
    </w:p>
    <w:p>
      <w:pPr>
        <w:spacing w:after="120"/>
      </w:pPr>
    </w:p>
    <w:p>
      <w:pPr>
        <w:spacing w:before="240" w:after="80"/>
      </w:pPr>
      <w:r>
        <w:rPr>
          <w:rFonts w:ascii="Calibri" w:hAnsi="Calibri"/>
          <w:b/>
          <w:color w:val="1B3A5C"/>
          <w:sz w:val="28"/>
        </w:rPr>
        <w:t>References &amp; Evidence Sources</w:t>
      </w:r>
    </w:p>
    <w:p>
      <w:pPr>
        <w:pBdr>
          <w:bottom w:val="single" w:sz="6" w:space="1" w:color="2E75B6"/>
        </w:pBdr>
        <w:spacing w:after="120"/>
      </w:pPr>
    </w:p>
    <w:p>
      <w:pPr>
        <w:pStyle w:val="ListNumber"/>
        <w:spacing w:before="40" w:after="40"/>
      </w:pPr>
      <w:r>
        <w:rPr>
          <w:rFonts w:ascii="Calibri" w:hAnsi="Calibri"/>
          <w:color w:val="000000"/>
          <w:sz w:val="22"/>
        </w:rPr>
        <w:t>pmid='32180044' doi=None title="tDCS in Parkinson's Disease: A Systematic Review and Meta-analysis" authors='Doruk Cengiz A et al.' year=2020 journal='Neurological Sciences' evidence_level='high' notes=''</w:t>
      </w:r>
    </w:p>
    <w:p>
      <w:pPr>
        <w:pStyle w:val="ListNumber"/>
        <w:spacing w:before="40" w:after="40"/>
      </w:pPr>
      <w:r>
        <w:rPr>
          <w:rFonts w:ascii="Calibri" w:hAnsi="Calibri"/>
          <w:color w:val="000000"/>
          <w:sz w:val="22"/>
        </w:rPr>
        <w:t>pmid='20801741' doi=None title="Transcranial direct current stimulation for the treatment of Parkinson's disease" authors='Benninger DH et al.' year=2010 journal='Journal of Neurology, Neurosurgery &amp; Psychiatry' evidence_level='high' notes=''</w:t>
      </w:r>
    </w:p>
    <w:p>
      <w:pPr>
        <w:pStyle w:val="ListNumber"/>
        <w:spacing w:before="40" w:after="40"/>
      </w:pPr>
      <w:r>
        <w:rPr>
          <w:rFonts w:ascii="Calibri" w:hAnsi="Calibri"/>
          <w:color w:val="000000"/>
          <w:sz w:val="22"/>
        </w:rPr>
        <w:t>pmid='16949616' doi=None title="Effects of transcranial direct current stimulation on working memory in patients with Parkinson's disease" authors='Boggio PS et al.' year=2006 journal='Journal of the Neurological Sciences' evidence_level='high' notes=''</w:t>
      </w:r>
    </w:p>
    <w:p>
      <w:pPr>
        <w:pStyle w:val="ListNumber"/>
        <w:spacing w:before="40" w:after="40"/>
      </w:pPr>
      <w:r>
        <w:rPr>
          <w:rFonts w:ascii="Calibri" w:hAnsi="Calibri"/>
          <w:color w:val="000000"/>
          <w:sz w:val="22"/>
        </w:rPr>
        <w:t>pmid='23421889' doi=None title="Therapeutic utility of bifrontal transcranial direct current stimulation in Parkinson's disease" authors='Khedr EM et al.' year=2013 journal='European Journal of Neurology' evidence_level='high' notes=''</w:t>
      </w:r>
    </w:p>
    <w:p>
      <w:pPr>
        <w:pStyle w:val="ListNumber"/>
        <w:spacing w:before="40" w:after="40"/>
      </w:pPr>
      <w:r>
        <w:rPr>
          <w:rFonts w:ascii="Calibri" w:hAnsi="Calibri"/>
          <w:color w:val="000000"/>
          <w:sz w:val="22"/>
        </w:rPr>
        <w:t>pmid='19343477' doi=None title='MDS-UPDRS: Scale presentation and clinimetric testing results' authors='Goetz CG et al.' year=2008 journal='Movement Disorders' evidence_level='high' notes='MDS-UPDRS validation reference'</w:t>
      </w:r>
    </w:p>
    <w:p>
      <w:pPr>
        <w:spacing w:after="120"/>
      </w:pPr>
    </w:p>
    <w:p>
      <w:r>
        <w:rPr>
          <w:rFonts w:ascii="Calibri" w:hAnsi="Calibri"/>
          <w:b/>
          <w:color w:val="1B3A5C"/>
          <w:sz w:val="24"/>
        </w:rPr>
        <w:t>References &amp; Evidence Sources</w:t>
      </w:r>
    </w:p>
    <w:p>
      <w:pPr>
        <w:ind w:left="480" w:hanging="360"/>
      </w:pPr>
      <w:r>
        <w:rPr>
          <w:rFonts w:ascii="Calibri" w:hAnsi="Calibri"/>
          <w:sz w:val="18"/>
        </w:rPr>
        <w:t>1. Doruk Cengiz A et al. (2020). tDCS in Parkinson's Disease: A Systematic Review and Meta-analysis. Neurological Sciences. PMID: 32180044.</w:t>
      </w:r>
    </w:p>
    <w:p>
      <w:pPr>
        <w:ind w:left="480" w:hanging="360"/>
      </w:pPr>
      <w:r>
        <w:rPr>
          <w:rFonts w:ascii="Calibri" w:hAnsi="Calibri"/>
          <w:sz w:val="18"/>
        </w:rPr>
        <w:t>2. Benninger DH et al. (2010). Transcranial direct current stimulation for the treatment of Parkinson's disease. Journal of Neurology, Neurosurgery &amp; Psychiatry. PMID: 20801741.</w:t>
      </w:r>
    </w:p>
    <w:p>
      <w:pPr>
        <w:ind w:left="480" w:hanging="360"/>
      </w:pPr>
      <w:r>
        <w:rPr>
          <w:rFonts w:ascii="Calibri" w:hAnsi="Calibri"/>
          <w:sz w:val="18"/>
        </w:rPr>
        <w:t>3. Boggio PS et al. (2006). Effects of transcranial direct current stimulation on working memory in patients with Parkinson's disease. Journal of the Neurological Sciences. PMID: 16949616.</w:t>
      </w:r>
    </w:p>
    <w:p>
      <w:pPr>
        <w:ind w:left="480" w:hanging="360"/>
      </w:pPr>
      <w:r>
        <w:rPr>
          <w:rFonts w:ascii="Calibri" w:hAnsi="Calibri"/>
          <w:sz w:val="18"/>
        </w:rPr>
        <w:t>4. Khedr EM et al. (2013). Therapeutic utility of bifrontal transcranial direct current stimulation in Parkinson's disease. European Journal of Neurology. PMID: 23421889.</w:t>
      </w:r>
    </w:p>
    <w:p>
      <w:pPr>
        <w:ind w:left="480" w:hanging="360"/>
      </w:pPr>
      <w:r>
        <w:rPr>
          <w:rFonts w:ascii="Calibri" w:hAnsi="Calibri"/>
          <w:sz w:val="18"/>
        </w:rPr>
        <w:t>5. Goetz CG et al. (2008). MDS-UPDRS: Scale presentation and clinimetric testing results. Movement Disorders. PMID: 19343477.</w:t>
      </w:r>
    </w:p>
    <w:sectPr w:rsidR="00FC693F" w:rsidRPr="0006063C" w:rsidSect="00034616">
      <w:headerReference w:type="default" r:id="rId9"/>
      <w:footerReference w:type="default" r:id="rId10"/>
      <w:pgSz w:w="11906" w:h="16838"/>
      <w:pgMar w:top="1701" w:right="1440" w:bottom="1440" w:left="1440" w:header="240" w:footer="720" w:gutter="0"/>
      <w:cols w:space="720"/>
      <w:docGrid w:linePitch="360"/>
    </w:sectPr>
  </w:body>
</w:document>
</file>

<file path=word/comments.xml><?xml version="1.0" encoding="utf-8"?>
<w:comments xmlns:w="http://schemas.openxmlformats.org/wordprocessingml/2006/main" xmlns:r="http://schemas.openxmlformats.org/officeDocument/2006/relationships">
  <w:comment w:id="1" w:author="Dr. Smith" w:date="2026-04-03T10:00:00Z">
    <w:p>
      <w:r>
        <w:t>Add more evidence for the TPS rationale in this section.</w:t>
      </w:r>
    </w:p>
  </w:comment>
  <w:comment w:id="2" w:author="Dr. Smith" w:date="2026-04-03T10:05:00Z">
    <w:p>
      <w:r>
        <w:t>This is too technical for Fellows. Simplify the network analysis.</w:t>
      </w:r>
    </w:p>
  </w:comment>
  <w:comment w:id="3" w:author="Dr. Jones" w:date="2026-04-03T10:10:00Z">
    <w:p>
      <w:r>
        <w:t>The contraindications section needs to include pregnancy risk.</w:t>
      </w:r>
    </w:p>
  </w:comment>
  <w:comment w:id="4" w:author="Dr. Jones" w:date="2026-04-03T10:15:00Z">
    <w:p>
      <w:r>
        <w:t>Move the brain map visual above the protocol table.</w:t>
      </w:r>
    </w:p>
  </w:comment>
  <w:comment w:id="5" w:author="Dr. Smith" w:date="2026-04-03T10:20:00Z">
    <w:p>
      <w:r>
        <w:t>Expand the pathophysiology mechanisms with Braak staging detail.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1B3A5C"/>
      </w:pBdr>
    </w:pPr>
    <w:r>
      <w:rPr>
        <w:rFonts w:ascii="Calibri" w:hAnsi="Calibri"/>
        <w:color w:val="999999"/>
        <w:sz w:val="16"/>
      </w:rPr>
      <w:t xml:space="preserve">© 2026 SOZO Brain Center. All rights reserved. CONFIDENTIAL.  |  Page </w:t>
    </w:r>
    <w:r>
      <w:rPr>
        <w:color w:val="99999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center"/>
    </w:pPr>
    <w:r>
      <w:rPr>
        <w:rFonts w:ascii="Calibri" w:hAnsi="Calibri"/>
        <w:b/>
        <w:color w:val="1B3A5C"/>
        <w:sz w:val="18"/>
      </w:rPr>
      <w:t>SOZO BRAIN CENTER</w:t>
    </w:r>
    <w:r>
      <w:rPr>
        <w:sz w:val="18"/>
      </w:rPr>
      <w:t xml:space="preserve">  |  </w:t>
    </w:r>
    <w:r>
      <w:rPr>
        <w:rFonts w:ascii="Calibri" w:hAnsi="Calibri"/>
        <w:color w:val="1B3A5C"/>
        <w:sz w:val="18"/>
      </w:rPr>
      <w:t>Parkinson's Disease — SOZO Evidence-Based Protocol — Parkinson's Disease</w:t>
    </w:r>
    <w:r>
      <w:rPr>
        <w:sz w:val="18"/>
      </w:rPr>
      <w:t xml:space="preserve">  |  </w:t>
    </w:r>
    <w:r>
      <w:rPr>
        <w:rFonts w:ascii="Calibri" w:hAnsi="Calibri"/>
        <w:b/>
        <w:color w:val="CC0000"/>
        <w:sz w:val="18"/>
      </w:rPr>
      <w:t>FELLOW TIER</w:t>
    </w:r>
  </w:p>
  <w:p>
    <w:pPr>
      <w:jc w:val="center"/>
      <w:pBdr>
        <w:bottom w:val="single" w:sz="4" w:color="1B3A5C"/>
      </w:pBdr>
    </w:pPr>
    <w:r>
      <w:rPr>
        <w:rFonts w:ascii="Calibri" w:hAnsi="Calibri"/>
        <w:i/>
        <w:color w:val="999999"/>
        <w:sz w:val="16"/>
      </w:rPr>
      <w:t>Version 1.0  |  CONFIDENTIAL  |  © 2026 SOZO Brain Center. All rights reserved.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  <Relationship Id="rIdComments"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