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точный интерфейс вкладки и размещение регуляторов; штатное сохранение признака «разрешено в OBS» на момент готовности сообщения для надёжного восстановления нескольких браузерных экземпляров.</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