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Точные допустимые фоновые форматы, параметры прозрачности и поведения фона/контура при отсутствии сообщений, размеры/толщина контура и место соответствующих контролов определить отдельно при продолжении согласования и технической проверке. Это предложение пользователя относится к внешнему виду D41, а не к изменению поведения уже реализованного редактора правил.</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отдельно согласовать судьбу несохранённого черновика оформления при выходе из программы и переключении вкладок.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варианты изображения/анимации, отсутствие сообщений при включённом фоне/контуре (с учётом прежнего D41-REQ-17 «пустой OBS прозрачен»), поведение общей рамки в окне минимального размера. До отдельного решения не считать это изменение отменой прозрачности пустого OBS-виджета.</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