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Dinesh Kumar</w:t>
      </w:r>
    </w:p>
    <w:p>
      <w:pPr>
        <w:spacing w:after="80"/>
      </w:pPr>
      <w:r>
        <w:rPr>
          <w:color w:val="555555"/>
          <w:sz w:val="17"/>
          <w:szCs w:val="17"/>
        </w:rPr>
        <w:t xml:space="preserve">Bangalore | dinesh.kumar@email.com | +91-9844223311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IT Support Engineer with 3 years using ServiceNow as an end-user and basic admin. Understands ITSM processes well but limited development/scripting experience.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IT Service Desk Lead | Accenture, Bangalore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ServiceNow for Incident and Service Request management daily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Created ServiceNow reports and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Performed basic user administration (roles, groups, approvals)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Configured simple catalog items - minimal scripting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ServiceNow: Incident/Change management (user level), basic admin</w:t>
      </w:r>
    </w:p>
    <w:p>
      <w:pPr>
        <w:spacing w:after="60"/>
      </w:pPr>
      <w:r>
        <w:rPr>
          <w:sz w:val="19"/>
          <w:szCs w:val="19"/>
        </w:rPr>
        <w:t xml:space="preserve">Limited scripting: basic JavaScript, no GlideScript development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ITIL v4 Foundation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2026-05-28T17:01:44.977Z</dcterms:created>
  <dcterms:modified xsi:type="dcterms:W3CDTF">2026-05-28T17:01:44.977Z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