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NV 金刚石芯片制备与量子光谱仪搭建</w:t>
      </w:r>
    </w:p>
    <w:p>
      <w:pPr>
        <w:pStyle w:val="3"/>
        <w:spacing w:before="300" w:after="120" w:line="288" w:lineRule="auto"/>
        <w:ind w:left="0"/>
        <w:jc w:val="left"/>
        <w:outlineLvl w:val="2"/>
      </w:pPr>
      <w:bookmarkStart w:name="heading_0" w:id="0"/>
      <w:r>
        <w:rPr>
          <w:rFonts w:eastAsia="等线" w:ascii="Arial" w:cs="Arial" w:hAnsi="Arial"/>
          <w:b w:val="true"/>
          <w:sz w:val="30"/>
        </w:rPr>
        <w:t>一、NV金刚石芯片制备（步骤1–17）</w:t>
      </w:r>
      <w:bookmarkEnd w:id="0"/>
    </w:p>
    <w:p>
      <w:pPr>
        <w:pStyle w:val="4"/>
        <w:spacing w:before="260" w:after="120" w:line="288" w:lineRule="auto"/>
        <w:ind w:left="0"/>
        <w:jc w:val="left"/>
        <w:outlineLvl w:val="3"/>
      </w:pPr>
      <w:bookmarkStart w:name="heading_1" w:id="1"/>
      <w:r>
        <w:rPr>
          <w:rFonts w:eastAsia="等线" w:ascii="Arial" w:cs="Arial" w:hAnsi="Arial"/>
          <w:b w:val="true"/>
          <w:sz w:val="28"/>
        </w:rPr>
        <w:t>1–11 酸清洗（耗时：2小时）</w:t>
      </w:r>
      <w:bookmarkEnd w:id="1"/>
    </w:p>
    <w:p>
      <w:pPr>
        <w:spacing w:before="120" w:after="120" w:line="288" w:lineRule="auto"/>
        <w:ind w:left="0"/>
        <w:jc w:val="left"/>
      </w:pPr>
      <w:r>
        <w:rPr>
          <w:rFonts w:eastAsia="等线" w:ascii="Arial" w:cs="Arial" w:hAnsi="Arial"/>
          <w:sz w:val="22"/>
        </w:rPr>
        <w:t>警告：清洗过程中必须佩戴防护装备（耐酸手套、面屏、实验服），严格遵循机构关于化学品使用和废弃物处理的相关规程，所有操作需在通风橱内进行。需使用耐化学腐蚀的陶瓷镊子，避免损伤金刚石表面或造成边缘崩裂。</w:t>
      </w:r>
    </w:p>
    <w:p>
      <w:pPr>
        <w:numPr>
          <w:numId w:val="1"/>
        </w:numPr>
        <w:spacing w:before="120" w:after="120" w:line="288" w:lineRule="auto"/>
        <w:ind w:left="0"/>
        <w:jc w:val="left"/>
      </w:pPr>
      <w:r>
        <w:rPr>
          <w:rFonts w:eastAsia="等线" w:ascii="Arial" w:cs="Arial" w:hAnsi="Arial"/>
          <w:sz w:val="22"/>
        </w:rPr>
        <w:t>搭建酸清洗装置：按图7所示，在加热套上安装圆底烧瓶、回流冷凝管和气体起泡器；为冷凝管接通冷却水，向起泡器中注入半满蒸馏水，并接入微弱气流。</w:t>
      </w:r>
    </w:p>
    <w:p>
      <w:pPr>
        <w:spacing w:before="120" w:after="120" w:line="288" w:lineRule="auto"/>
        <w:ind w:left="0"/>
        <w:jc w:val="left"/>
      </w:pPr>
      <w:r>
        <w:rPr>
          <w:rFonts w:eastAsia="等线" w:ascii="Arial" w:cs="Arial" w:hAnsi="Arial"/>
          <w:sz w:val="22"/>
        </w:rPr>
        <w:t>警告：此步骤至关重要，可防止酸雾泄漏（高氯酸雾具有爆炸性）。</w:t>
      </w:r>
    </w:p>
    <w:p>
      <w:pPr>
        <w:numPr>
          <w:numId w:val="2"/>
        </w:numPr>
        <w:spacing w:before="120" w:after="120" w:line="288" w:lineRule="auto"/>
        <w:ind w:left="0"/>
        <w:jc w:val="left"/>
      </w:pPr>
      <w:r>
        <w:rPr>
          <w:rFonts w:eastAsia="等线" w:ascii="Arial" w:cs="Arial" w:hAnsi="Arial"/>
          <w:sz w:val="22"/>
        </w:rPr>
        <w:t>将金刚石转移至圆底烧瓶中。</w:t>
      </w:r>
    </w:p>
    <w:p>
      <w:pPr>
        <w:numPr>
          <w:numId w:val="3"/>
        </w:numPr>
        <w:spacing w:before="120" w:after="120" w:line="288" w:lineRule="auto"/>
        <w:ind w:left="0"/>
        <w:jc w:val="left"/>
      </w:pPr>
      <w:r>
        <w:rPr>
          <w:rFonts w:eastAsia="等线" w:ascii="Arial" w:cs="Arial" w:hAnsi="Arial"/>
          <w:sz w:val="22"/>
        </w:rPr>
        <w:t>配制三酸混合液：向烧杯中先加入5mL硫酸，再依次加入5mL高氯酸和5mL硝酸（注：加酸顺序与酸雾产生相关，硝酸雾最多，硫酸雾最少）；将混合液倒入装有金刚石的圆底烧瓶。</w:t>
      </w:r>
    </w:p>
    <w:p>
      <w:pPr>
        <w:numPr>
          <w:numId w:val="4"/>
        </w:numPr>
        <w:spacing w:before="120" w:after="120" w:line="288" w:lineRule="auto"/>
        <w:ind w:left="0"/>
        <w:jc w:val="left"/>
      </w:pPr>
      <w:r>
        <w:rPr>
          <w:rFonts w:eastAsia="等线" w:ascii="Arial" w:cs="Arial" w:hAnsi="Arial"/>
          <w:sz w:val="22"/>
        </w:rPr>
        <w:t>将冷凝管接入圆底烧瓶，开启加热套使酸液沸腾；保持通风橱关闭，维持沸腾状态1小时；之后关闭加热器，让溶液冷却30分钟。</w:t>
      </w:r>
    </w:p>
    <w:p>
      <w:pPr>
        <w:numPr>
          <w:numId w:val="5"/>
        </w:numPr>
        <w:spacing w:before="120" w:after="120" w:line="288" w:lineRule="auto"/>
        <w:ind w:left="0"/>
        <w:jc w:val="left"/>
      </w:pPr>
      <w:r>
        <w:rPr>
          <w:rFonts w:eastAsia="等线" w:ascii="Arial" w:cs="Arial" w:hAnsi="Arial"/>
          <w:sz w:val="22"/>
        </w:rPr>
        <w:t>准备一只盛有去离子水的烧杯，用于稀释残留酸液。</w:t>
      </w:r>
    </w:p>
    <w:p>
      <w:pPr>
        <w:numPr>
          <w:numId w:val="6"/>
        </w:numPr>
        <w:spacing w:before="120" w:after="120" w:line="288" w:lineRule="auto"/>
        <w:ind w:left="0"/>
        <w:jc w:val="left"/>
      </w:pPr>
      <w:r>
        <w:rPr>
          <w:rFonts w:eastAsia="等线" w:ascii="Arial" w:cs="Arial" w:hAnsi="Arial"/>
          <w:sz w:val="22"/>
        </w:rPr>
        <w:t>取下冷凝管，将大部分酸液倒入专用废液容器中。</w:t>
      </w:r>
    </w:p>
    <w:p>
      <w:pPr>
        <w:spacing w:before="120" w:after="120" w:line="288" w:lineRule="auto"/>
        <w:ind w:left="0"/>
        <w:jc w:val="left"/>
      </w:pPr>
      <w:r>
        <w:rPr>
          <w:rFonts w:eastAsia="等线" w:ascii="Arial" w:cs="Arial" w:hAnsi="Arial"/>
          <w:sz w:val="22"/>
        </w:rPr>
        <w:t>关键步骤：操作时需格外小心，避免将金刚石倒出烧瓶。</w:t>
      </w:r>
    </w:p>
    <w:p>
      <w:pPr>
        <w:numPr>
          <w:numId w:val="7"/>
        </w:numPr>
        <w:spacing w:before="120" w:after="120" w:line="288" w:lineRule="auto"/>
        <w:ind w:left="0"/>
        <w:jc w:val="left"/>
      </w:pPr>
      <w:r>
        <w:rPr>
          <w:rFonts w:eastAsia="等线" w:ascii="Arial" w:cs="Arial" w:hAnsi="Arial"/>
          <w:sz w:val="22"/>
        </w:rPr>
        <w:t>稀释残留酸液：向圆底烧瓶中倒入去离子水，轻轻摇晃以稀释残留酸液，随后将废液倒入废液容器（再次确保不倾倒出金刚石）；此步骤至少重复2次。</w:t>
      </w:r>
    </w:p>
    <w:p>
      <w:pPr>
        <w:numPr>
          <w:numId w:val="8"/>
        </w:numPr>
        <w:spacing w:before="120" w:after="120" w:line="288" w:lineRule="auto"/>
        <w:ind w:left="0"/>
        <w:jc w:val="left"/>
      </w:pPr>
      <w:r>
        <w:rPr>
          <w:rFonts w:eastAsia="等线" w:ascii="Arial" w:cs="Arial" w:hAnsi="Arial"/>
          <w:sz w:val="22"/>
        </w:rPr>
        <w:t>向烧瓶中注满去离子水，将烧瓶内所有物质（含金刚石）倒入洁净室专用容器或同类洁净容器中；重复此步骤直至金刚石完全从烧瓶中移出。</w:t>
      </w:r>
    </w:p>
    <w:p>
      <w:pPr>
        <w:numPr>
          <w:numId w:val="9"/>
        </w:numPr>
        <w:spacing w:before="120" w:after="120" w:line="288" w:lineRule="auto"/>
        <w:ind w:left="0"/>
        <w:jc w:val="left"/>
      </w:pPr>
      <w:r>
        <w:rPr>
          <w:rFonts w:eastAsia="等线" w:ascii="Arial" w:cs="Arial" w:hAnsi="Arial"/>
          <w:sz w:val="22"/>
        </w:rPr>
        <w:t>用陶瓷镊子将金刚石从去离子水中转移至异丙醇溶液中。</w:t>
      </w:r>
    </w:p>
    <w:p>
      <w:pPr>
        <w:numPr>
          <w:numId w:val="10"/>
        </w:numPr>
        <w:spacing w:before="120" w:after="120" w:line="288" w:lineRule="auto"/>
        <w:ind w:left="0"/>
        <w:jc w:val="left"/>
      </w:pPr>
      <w:r>
        <w:rPr>
          <w:rFonts w:eastAsia="等线" w:ascii="Arial" w:cs="Arial" w:hAnsi="Arial"/>
          <w:sz w:val="22"/>
        </w:rPr>
        <w:t>用氮气吹扫器吹干金刚石，放入洁净容器中储存。</w:t>
      </w:r>
    </w:p>
    <w:p>
      <w:pPr>
        <w:numPr>
          <w:numId w:val="11"/>
        </w:numPr>
        <w:spacing w:before="120" w:after="120" w:line="288" w:lineRule="auto"/>
        <w:ind w:left="0"/>
        <w:jc w:val="left"/>
      </w:pPr>
      <w:r>
        <w:rPr>
          <w:rFonts w:eastAsia="等线" w:ascii="Arial" w:cs="Arial" w:hAnsi="Arial"/>
          <w:sz w:val="22"/>
        </w:rPr>
        <w:t>彻底清洗所有玻璃器皿，将化学废弃物按规定分类处理。</w:t>
      </w:r>
    </w:p>
    <w:p>
      <w:pPr>
        <w:spacing w:before="120" w:after="120" w:line="288" w:lineRule="auto"/>
        <w:ind w:left="0"/>
        <w:jc w:val="left"/>
      </w:pPr>
      <w:r>
        <w:rPr>
          <w:rFonts w:eastAsia="等线" w:ascii="Arial" w:cs="Arial" w:hAnsi="Arial"/>
          <w:sz w:val="22"/>
        </w:rPr>
        <w:t>暂停点：金刚石可在洁净容器中于室温（15–30℃）下储存数周，无需额外清洗；已注入离子的金刚石可直接用于量子传感实验，未注入的基板需送外进行离子注入；注入后需再次执行步骤1–11的酸清洗，再进行退火处理。</w:t>
      </w:r>
    </w:p>
    <w:p>
      <w:pPr>
        <w:pStyle w:val="4"/>
        <w:spacing w:before="260" w:after="120" w:line="288" w:lineRule="auto"/>
        <w:ind w:left="0"/>
        <w:jc w:val="left"/>
        <w:outlineLvl w:val="3"/>
      </w:pPr>
      <w:bookmarkStart w:name="heading_2" w:id="2"/>
      <w:r>
        <w:rPr>
          <w:rFonts w:eastAsia="等线" w:ascii="Arial" w:cs="Arial" w:hAnsi="Arial"/>
          <w:b w:val="true"/>
          <w:sz w:val="28"/>
        </w:rPr>
        <w:t>12–17 退火（耗时：1天）</w:t>
      </w:r>
      <w:bookmarkEnd w:id="2"/>
    </w:p>
    <w:p>
      <w:pPr>
        <w:spacing w:before="120" w:after="120" w:line="288" w:lineRule="auto"/>
        <w:ind w:left="0"/>
        <w:jc w:val="left"/>
      </w:pPr>
      <w:r>
        <w:rPr>
          <w:rFonts w:eastAsia="等线" w:ascii="Arial" w:cs="Arial" w:hAnsi="Arial"/>
          <w:sz w:val="22"/>
        </w:rPr>
        <w:t>关键步骤：退火流程（步骤12–17）需在金刚石离子注入和酸清洗后进行；本方案描述的是基于自制真空炉系统的操作（图8）。由于退火系统搭建复杂，建议将金刚石样品送至具备相关设备的研究团队或商业机构（如</w:t>
      </w:r>
      <w:hyperlink r:id="rId5">
        <w:r>
          <w:rPr>
            <w:rFonts w:eastAsia="等线" w:ascii="Arial" w:cs="Arial" w:hAnsi="Arial"/>
            <w:color w:val="3370ff"/>
            <w:sz w:val="22"/>
          </w:rPr>
          <w:t>http://www.laserage.com/heat-treating</w:t>
        </w:r>
      </w:hyperlink>
      <w:r>
        <w:rPr>
          <w:rFonts w:eastAsia="等线" w:ascii="Arial" w:cs="Arial" w:hAnsi="Arial"/>
          <w:sz w:val="22"/>
        </w:rPr>
        <w:t>）进行处理；同类系统的操作流程和注意事项可参考本方案。以下步骤适用于“炉体未抽真空、已开盖且涡轮泵已停机”的初始状态。</w:t>
      </w:r>
    </w:p>
    <w:p>
      <w:pPr>
        <w:numPr>
          <w:numId w:val="12"/>
        </w:numPr>
        <w:spacing w:before="120" w:after="120" w:line="288" w:lineRule="auto"/>
        <w:ind w:left="0"/>
        <w:jc w:val="left"/>
      </w:pPr>
      <w:r>
        <w:rPr>
          <w:rFonts w:eastAsia="等线" w:ascii="Arial" w:cs="Arial" w:hAnsi="Arial"/>
          <w:sz w:val="22"/>
        </w:rPr>
        <w:t>从洁净储存处取出石英舟和石英管；将石英舟置于封闭空间（防止转移金刚石时掉落）；用陶瓷镊子将金刚石样品（可同时处理多个）转移至石英舟中；将石英舟放回石英管内，并推送至炉体加热区域的末端。</w:t>
      </w:r>
    </w:p>
    <w:p>
      <w:pPr>
        <w:numPr>
          <w:numId w:val="13"/>
        </w:numPr>
        <w:spacing w:before="120" w:after="120" w:line="288" w:lineRule="auto"/>
        <w:ind w:left="0"/>
        <w:jc w:val="left"/>
      </w:pPr>
      <w:r>
        <w:rPr>
          <w:rFonts w:eastAsia="等线" w:ascii="Arial" w:cs="Arial" w:hAnsi="Arial"/>
          <w:sz w:val="22"/>
        </w:rPr>
        <w:t>用CF法兰将石英管与真空组件密封；在两个金属密封面之间放置铜垫片，确保垫片与刀口位置对齐；通过均匀拧紧密封螺栓和螺母，保证真空密封效果。</w:t>
      </w:r>
    </w:p>
    <w:p>
      <w:pPr>
        <w:numPr>
          <w:numId w:val="14"/>
        </w:numPr>
        <w:spacing w:before="120" w:after="120" w:line="288" w:lineRule="auto"/>
        <w:ind w:left="0"/>
        <w:jc w:val="left"/>
      </w:pPr>
      <w:r>
        <w:rPr>
          <w:rFonts w:eastAsia="等线" w:ascii="Arial" w:cs="Arial" w:hAnsi="Arial"/>
          <w:sz w:val="22"/>
        </w:rPr>
        <w:t>打开闸阀，启动机械泵对整个腔体抽真空；参考涡轮泵操作手册，确认达到涡轮泵启动的最低压力要求后，开启涡轮泵，等待腔体压力进一步降低（等待时间取决于涡轮泵型号和真空腔体体积）；当压力降至可接受水平（&lt;10⁻⁷ mbar）时，即可开始加热。</w:t>
      </w:r>
    </w:p>
    <w:p>
      <w:pPr>
        <w:numPr>
          <w:numId w:val="15"/>
        </w:numPr>
        <w:spacing w:before="120" w:after="120" w:line="288" w:lineRule="auto"/>
        <w:ind w:left="0"/>
        <w:jc w:val="left"/>
      </w:pPr>
      <w:r>
        <w:rPr>
          <w:rFonts w:eastAsia="等线" w:ascii="Arial" w:cs="Arial" w:hAnsi="Arial"/>
          <w:sz w:val="22"/>
        </w:rPr>
        <w:t>向炉体控制器输入加热曲线（图9）：从室温经6小时升温至400℃，并在400℃下保温6小时；再经6小时升温至800℃，在800℃下保温2小时。</w:t>
      </w:r>
    </w:p>
    <w:p>
      <w:pPr>
        <w:numPr>
          <w:numId w:val="16"/>
        </w:numPr>
        <w:spacing w:before="120" w:after="120" w:line="288" w:lineRule="auto"/>
        <w:ind w:left="0"/>
        <w:jc w:val="left"/>
      </w:pPr>
      <w:r>
        <w:rPr>
          <w:rFonts w:eastAsia="等线" w:ascii="Arial" w:cs="Arial" w:hAnsi="Arial"/>
          <w:sz w:val="22"/>
        </w:rPr>
        <w:t>关闭加热系统，让炉体自然冷却至室温；关闭闸阀，停止涡轮泵；打开石英管与炉体的密封装置。</w:t>
      </w:r>
    </w:p>
    <w:p>
      <w:pPr>
        <w:spacing w:before="120" w:after="120" w:line="288" w:lineRule="auto"/>
        <w:ind w:left="0"/>
        <w:jc w:val="left"/>
      </w:pPr>
      <w:r>
        <w:rPr>
          <w:rFonts w:eastAsia="等线" w:ascii="Arial" w:cs="Arial" w:hAnsi="Arial"/>
          <w:sz w:val="22"/>
        </w:rPr>
        <w:t>暂停点：金刚石可放入洁净容器中储存。</w:t>
      </w:r>
    </w:p>
    <w:p>
      <w:pPr>
        <w:numPr>
          <w:numId w:val="17"/>
        </w:numPr>
        <w:spacing w:before="120" w:after="120" w:line="288" w:lineRule="auto"/>
        <w:ind w:left="0"/>
        <w:jc w:val="left"/>
      </w:pPr>
      <w:r>
        <w:rPr>
          <w:rFonts w:eastAsia="等线" w:ascii="Arial" w:cs="Arial" w:hAnsi="Arial"/>
          <w:sz w:val="22"/>
        </w:rPr>
        <w:t>按步骤1–11的方法对金刚石进行酸清洗。</w:t>
      </w:r>
    </w:p>
    <w:p>
      <w:pPr>
        <w:pStyle w:val="3"/>
        <w:spacing w:before="300" w:after="120" w:line="288" w:lineRule="auto"/>
        <w:ind w:left="0"/>
        <w:jc w:val="left"/>
        <w:outlineLvl w:val="2"/>
      </w:pPr>
      <w:bookmarkStart w:name="heading_3" w:id="3"/>
      <w:r>
        <w:rPr>
          <w:rFonts w:eastAsia="等线" w:ascii="Arial" w:cs="Arial" w:hAnsi="Arial"/>
          <w:b w:val="true"/>
          <w:sz w:val="30"/>
        </w:rPr>
        <w:t>二、量子金刚石光谱仪搭建（步骤18–49）</w:t>
      </w:r>
      <w:bookmarkEnd w:id="3"/>
    </w:p>
    <w:p>
      <w:pPr>
        <w:spacing w:before="120" w:after="120" w:line="288" w:lineRule="auto"/>
        <w:ind w:left="0"/>
        <w:jc w:val="left"/>
      </w:pPr>
      <w:r>
        <w:rPr>
          <w:rFonts w:eastAsia="等线" w:ascii="Arial" w:cs="Arial" w:hAnsi="Arial"/>
          <w:sz w:val="22"/>
        </w:rPr>
        <w:t>耗时：3周</w:t>
      </w:r>
    </w:p>
    <w:p>
      <w:pPr>
        <w:spacing w:before="120" w:after="120" w:line="288" w:lineRule="auto"/>
        <w:ind w:left="0"/>
        <w:jc w:val="left"/>
      </w:pPr>
      <w:r>
        <w:rPr>
          <w:rFonts w:eastAsia="等线" w:ascii="Arial" w:cs="Arial" w:hAnsi="Arial"/>
          <w:sz w:val="22"/>
        </w:rPr>
        <w:t>关键步骤：以下步骤（18–49）仅用于仪器的初始搭建；若使用已有搭建完成的系统，可直接跳转至步骤50–58。</w:t>
      </w:r>
    </w:p>
    <w:p>
      <w:pPr>
        <w:pStyle w:val="4"/>
        <w:spacing w:before="260" w:after="120" w:line="288" w:lineRule="auto"/>
        <w:ind w:left="0"/>
        <w:jc w:val="left"/>
        <w:outlineLvl w:val="3"/>
      </w:pPr>
      <w:bookmarkStart w:name="heading_4" w:id="4"/>
      <w:r>
        <w:rPr>
          <w:rFonts w:eastAsia="等线" w:ascii="Arial" w:cs="Arial" w:hAnsi="Arial"/>
          <w:b w:val="true"/>
          <w:sz w:val="28"/>
        </w:rPr>
        <w:t>18–25 实验控制软件安装（耗时：1天）</w:t>
      </w:r>
      <w:bookmarkEnd w:id="4"/>
    </w:p>
    <w:p>
      <w:pPr>
        <w:numPr>
          <w:numId w:val="18"/>
        </w:numPr>
        <w:spacing w:before="120" w:after="120" w:line="288" w:lineRule="auto"/>
        <w:ind w:left="0"/>
        <w:jc w:val="left"/>
      </w:pPr>
      <w:r>
        <w:rPr>
          <w:rFonts w:eastAsia="等线" w:ascii="Arial" w:cs="Arial" w:hAnsi="Arial"/>
          <w:sz w:val="22"/>
        </w:rPr>
        <w:t>从</w:t>
      </w:r>
      <w:hyperlink r:id="rId6">
        <w:r>
          <w:rPr>
            <w:rFonts w:eastAsia="等线" w:ascii="Arial" w:cs="Arial" w:hAnsi="Arial"/>
            <w:color w:val="3370ff"/>
            <w:sz w:val="22"/>
          </w:rPr>
          <w:t>https://www.python.org/</w:t>
        </w:r>
      </w:hyperlink>
      <w:r>
        <w:rPr>
          <w:rFonts w:eastAsia="等线" w:ascii="Arial" w:cs="Arial" w:hAnsi="Arial"/>
          <w:sz w:val="22"/>
        </w:rPr>
        <w:t>下载并安装Python 3（版本3.6.3及以上），Python的位数需与NI-VISA库（步骤20）及计算机/操作系统的位数一致；本方案描述的是通过Windows命令提示符运行Python脚本、用Notepad++编辑脚本的操作方式，用户也可选择使用集成开发环境（IDE）或其他编辑器。</w:t>
      </w:r>
    </w:p>
    <w:p>
      <w:pPr>
        <w:numPr>
          <w:numId w:val="19"/>
        </w:numPr>
        <w:spacing w:before="120" w:after="120" w:line="288" w:lineRule="auto"/>
        <w:ind w:left="0"/>
        <w:jc w:val="left"/>
      </w:pPr>
      <w:r>
        <w:rPr>
          <w:rFonts w:eastAsia="等线" w:ascii="Arial" w:cs="Arial" w:hAnsi="Arial"/>
          <w:sz w:val="22"/>
        </w:rPr>
        <w:t>验证Python安装：打开Windows命令提示符，输入“python”并回车，若显示Python版本号和位数则安装成功；输入“exit()”（或按住Ctrl键+Z键后回车）退出Python。</w:t>
      </w:r>
    </w:p>
    <w:p>
      <w:pPr>
        <w:numPr>
          <w:numId w:val="20"/>
        </w:numPr>
        <w:spacing w:before="120" w:after="120" w:line="288" w:lineRule="auto"/>
        <w:ind w:left="0"/>
        <w:jc w:val="left"/>
      </w:pPr>
      <w:r>
        <w:rPr>
          <w:rFonts w:eastAsia="等线" w:ascii="Arial" w:cs="Arial" w:hAnsi="Arial"/>
          <w:sz w:val="22"/>
        </w:rPr>
        <w:t>下载并安装NI USB/GPIB转换器的所需驱动（以NI GPIB-USB-HS转换器为例），该驱动通常包含NI-VISA库；若未包含，可从下拉菜单中选择对应版本（本方案已测试版本16.0）并下载安装。</w:t>
      </w:r>
    </w:p>
    <w:p>
      <w:pPr>
        <w:numPr>
          <w:numId w:val="21"/>
        </w:numPr>
        <w:spacing w:before="120" w:after="120" w:line="288" w:lineRule="auto"/>
        <w:ind w:left="453"/>
        <w:jc w:val="left"/>
      </w:pPr>
      <w:r>
        <w:rPr>
          <w:rFonts w:eastAsia="等线" w:ascii="Arial" w:cs="Arial" w:hAnsi="Arial"/>
          <w:sz w:val="22"/>
        </w:rPr>
        <w:t>从Windows命令提示符安装PyVISA：运行命令“python -m pip install -U pyvisa”；</w:t>
      </w:r>
    </w:p>
    <w:p>
      <w:pPr>
        <w:numPr>
          <w:numId w:val="22"/>
        </w:numPr>
        <w:spacing w:before="120" w:after="120" w:line="288" w:lineRule="auto"/>
        <w:ind w:left="453"/>
        <w:jc w:val="left"/>
      </w:pPr>
      <w:r>
        <w:rPr>
          <w:rFonts w:eastAsia="等线" w:ascii="Arial" w:cs="Arial" w:hAnsi="Arial"/>
          <w:sz w:val="22"/>
        </w:rPr>
        <w:t>验证安装：启动Python，输入“import visa”，无报错则安装成功。</w:t>
      </w:r>
    </w:p>
    <w:p>
      <w:pPr>
        <w:spacing w:before="120" w:after="120" w:line="288" w:lineRule="auto"/>
        <w:ind w:left="0"/>
        <w:jc w:val="left"/>
      </w:pPr>
      <w:r>
        <w:rPr>
          <w:rFonts w:eastAsia="等线" w:ascii="Arial" w:cs="Arial" w:hAnsi="Arial"/>
          <w:sz w:val="22"/>
        </w:rPr>
        <w:t>关键步骤：确保NI-VISA库的位数与Python位数一致（如64位操作系统需安装64位NI-VISA）。</w:t>
      </w:r>
    </w:p>
    <w:p>
      <w:pPr>
        <w:numPr>
          <w:numId w:val="23"/>
        </w:numPr>
        <w:spacing w:before="120" w:after="120" w:line="288" w:lineRule="auto"/>
        <w:ind w:left="0"/>
        <w:jc w:val="left"/>
      </w:pPr>
      <w:r>
        <w:rPr>
          <w:rFonts w:eastAsia="等线" w:ascii="Arial" w:cs="Arial" w:hAnsi="Arial"/>
          <w:sz w:val="22"/>
        </w:rPr>
        <w:t>从Windows命令提示符安装Matplotlib：运行命令“python -m pip install -U matplotlib”；验证安装：启动Python，输入“import matplotlib”，无报错则安装成功。</w:t>
      </w:r>
    </w:p>
    <w:p>
      <w:pPr>
        <w:numPr>
          <w:numId w:val="24"/>
        </w:numPr>
        <w:spacing w:before="120" w:after="120" w:line="288" w:lineRule="auto"/>
        <w:ind w:left="0"/>
        <w:jc w:val="left"/>
      </w:pPr>
      <w:r>
        <w:rPr>
          <w:rFonts w:eastAsia="等线" w:ascii="Arial" w:cs="Arial" w:hAnsi="Arial"/>
          <w:sz w:val="22"/>
        </w:rPr>
        <w:t>从Windows命令提示符安装NumPy：运行命令“python -m pip install -U numpy”；验证安装：启动Python，输入“import numpy”，无报错则安装成功。</w:t>
      </w:r>
    </w:p>
    <w:p>
      <w:pPr>
        <w:numPr>
          <w:numId w:val="25"/>
        </w:numPr>
        <w:spacing w:before="120" w:after="120" w:line="288" w:lineRule="auto"/>
        <w:ind w:left="0"/>
        <w:jc w:val="left"/>
      </w:pPr>
      <w:r>
        <w:rPr>
          <w:rFonts w:eastAsia="等线" w:ascii="Arial" w:cs="Arial" w:hAnsi="Arial"/>
          <w:sz w:val="22"/>
        </w:rPr>
        <w:t>从</w:t>
      </w:r>
      <w:hyperlink r:id="rId7">
        <w:r>
          <w:rPr>
            <w:rFonts w:eastAsia="等线" w:ascii="Arial" w:cs="Arial" w:hAnsi="Arial"/>
            <w:color w:val="3370ff"/>
            <w:sz w:val="22"/>
          </w:rPr>
          <w:t>https://notepad-plus-plus.org/</w:t>
        </w:r>
      </w:hyperlink>
      <w:r>
        <w:rPr>
          <w:rFonts w:eastAsia="等线" w:ascii="Arial" w:cs="Arial" w:hAnsi="Arial"/>
          <w:sz w:val="22"/>
        </w:rPr>
        <w:t>下载并安装Notepad++。</w:t>
      </w:r>
    </w:p>
    <w:p>
      <w:pPr>
        <w:numPr>
          <w:numId w:val="26"/>
        </w:numPr>
        <w:spacing w:before="120" w:after="120" w:line="288" w:lineRule="auto"/>
        <w:ind w:left="0"/>
        <w:jc w:val="left"/>
      </w:pPr>
      <w:r>
        <w:rPr>
          <w:rFonts w:eastAsia="等线" w:ascii="Arial" w:cs="Arial" w:hAnsi="Arial"/>
          <w:sz w:val="22"/>
        </w:rPr>
        <w:t>选择实验控制软件的安装文件夹（以下简称“工作目录”）；从</w:t>
      </w:r>
      <w:hyperlink r:id="rId8">
        <w:r>
          <w:rPr>
            <w:rFonts w:eastAsia="等线" w:ascii="Arial" w:cs="Arial" w:hAnsi="Arial"/>
            <w:color w:val="3370ff"/>
            <w:sz w:val="22"/>
          </w:rPr>
          <w:t>https://gitlab.com/dplaudecraik/qdSpectro</w:t>
        </w:r>
      </w:hyperlink>
      <w:r>
        <w:rPr>
          <w:rFonts w:eastAsia="等线" w:ascii="Arial" w:cs="Arial" w:hAnsi="Arial"/>
          <w:sz w:val="22"/>
        </w:rPr>
        <w:t>下载qdSpectro软件包并保存至工作目录（见方框1对软件包包含文件的简要说明）；本方案撰写时的软件版本为v.1.0.1，建议用户下载最新版本，并参考软件包中的README文件查看补丁说明和版本特定的操作调整。</w:t>
      </w:r>
    </w:p>
    <w:p>
      <w:pPr>
        <w:numPr>
          <w:numId w:val="27"/>
        </w:numPr>
        <w:spacing w:before="120" w:after="120" w:line="288" w:lineRule="auto"/>
        <w:ind w:left="0"/>
        <w:jc w:val="left"/>
      </w:pPr>
      <w:r>
        <w:rPr>
          <w:rFonts w:eastAsia="等线" w:ascii="Arial" w:cs="Arial" w:hAnsi="Arial"/>
          <w:sz w:val="22"/>
        </w:rPr>
        <w:t>从</w:t>
      </w:r>
      <w:hyperlink r:id="rId9">
        <w:r>
          <w:rPr>
            <w:rFonts w:eastAsia="等线" w:ascii="Arial" w:cs="Arial" w:hAnsi="Arial"/>
            <w:color w:val="3370ff"/>
            <w:sz w:val="22"/>
          </w:rPr>
          <w:t>http://www.spincore.com/support/SpinAPI_Python_Wrapper/Python_Wrapper_Main.shtml</w:t>
        </w:r>
      </w:hyperlink>
      <w:r>
        <w:rPr>
          <w:rFonts w:eastAsia="等线" w:ascii="Arial" w:cs="Arial" w:hAnsi="Arial"/>
          <w:sz w:val="22"/>
        </w:rPr>
        <w:t>下载SpinAPI Python封装器；若链接失效，可通过</w:t>
      </w:r>
      <w:hyperlink r:id="rId10">
        <w:r>
          <w:rPr>
            <w:rFonts w:eastAsia="等线" w:ascii="Arial" w:cs="Arial" w:hAnsi="Arial"/>
            <w:color w:val="3370ff"/>
            <w:sz w:val="22"/>
          </w:rPr>
          <w:t>https://web.archive.org/web/20190208140542/</w:t>
        </w:r>
      </w:hyperlink>
      <w:r>
        <w:rPr>
          <w:rFonts w:eastAsia="等线" w:ascii="Arial" w:cs="Arial" w:hAnsi="Arial"/>
          <w:sz w:val="22"/>
        </w:rPr>
        <w:t>，在搜索框中输入“</w:t>
      </w:r>
      <w:hyperlink r:id="rId11">
        <w:r>
          <w:rPr>
            <w:rFonts w:eastAsia="等线" w:ascii="Arial" w:cs="Arial" w:hAnsi="Arial"/>
            <w:color w:val="3370ff"/>
            <w:sz w:val="22"/>
          </w:rPr>
          <w:t>http://www.spincore.com/support/SpinAPI_Python_Wrapper/spinapi.py</w:t>
        </w:r>
      </w:hyperlink>
      <w:r>
        <w:rPr>
          <w:rFonts w:eastAsia="等线" w:ascii="Arial" w:cs="Arial" w:hAnsi="Arial"/>
          <w:sz w:val="22"/>
        </w:rPr>
        <w:t>”获取所需版本的[spinapi.py](spinapi.py)文件。</w:t>
      </w:r>
    </w:p>
    <w:p>
      <w:pPr>
        <w:spacing w:before="120" w:after="120" w:line="288" w:lineRule="auto"/>
        <w:ind w:left="0"/>
        <w:jc w:val="left"/>
      </w:pPr>
      <w:r>
        <w:rPr>
          <w:rFonts w:eastAsia="等线" w:ascii="Arial" w:cs="Arial" w:hAnsi="Arial"/>
          <w:sz w:val="22"/>
        </w:rPr>
        <w:t>关键步骤：将该文件保存为“[spinapi.py](spinapi.py)”并放入工作目录。</w:t>
      </w:r>
    </w:p>
    <w:p>
      <w:pPr>
        <w:pStyle w:val="4"/>
        <w:spacing w:before="260" w:after="120" w:line="288" w:lineRule="auto"/>
        <w:ind w:left="0"/>
        <w:jc w:val="left"/>
        <w:outlineLvl w:val="3"/>
      </w:pPr>
      <w:bookmarkStart w:name="heading_5" w:id="5"/>
      <w:r>
        <w:rPr>
          <w:rFonts w:eastAsia="等线" w:ascii="Arial" w:cs="Arial" w:hAnsi="Arial"/>
          <w:b w:val="true"/>
          <w:sz w:val="28"/>
        </w:rPr>
        <w:t>26–32 脉冲发生器（PB）与数据采集卡（DAQ）设置（耗时：1天）</w:t>
      </w:r>
      <w:bookmarkEnd w:id="5"/>
    </w:p>
    <w:p>
      <w:pPr>
        <w:numPr>
          <w:numId w:val="28"/>
        </w:numPr>
        <w:spacing w:before="120" w:after="120" w:line="288" w:lineRule="auto"/>
        <w:ind w:left="0"/>
        <w:jc w:val="left"/>
      </w:pPr>
      <w:r>
        <w:rPr>
          <w:rFonts w:eastAsia="等线" w:ascii="Arial" w:cs="Arial" w:hAnsi="Arial"/>
          <w:sz w:val="22"/>
        </w:rPr>
        <w:t>按照脉冲发生器手册的“安装”章节（如PulseBlasterESR-PRO手册2017年9月版第9页）进行操作：下载SpinAPI软件包，将脉冲发生器卡插入计算机的可用PCI插槽，使用SpinCore提供的测试程序验证脉冲发生器功能。</w:t>
      </w:r>
    </w:p>
    <w:p>
      <w:pPr>
        <w:numPr>
          <w:numId w:val="29"/>
        </w:numPr>
        <w:spacing w:before="120" w:after="120" w:line="288" w:lineRule="auto"/>
        <w:ind w:left="0"/>
        <w:jc w:val="left"/>
      </w:pPr>
      <w:r>
        <w:rPr>
          <w:rFonts w:eastAsia="等线" w:ascii="Arial" w:cs="Arial" w:hAnsi="Arial"/>
          <w:sz w:val="22"/>
        </w:rPr>
        <w:t>按照National Instruments DAQ卡的安装说明（如NI USB-621x手册2009年4月版第1章，链接：</w:t>
      </w:r>
      <w:hyperlink r:id="rId12">
        <w:r>
          <w:rPr>
            <w:rFonts w:eastAsia="等线" w:ascii="Arial" w:cs="Arial" w:hAnsi="Arial"/>
            <w:color w:val="3370ff"/>
            <w:sz w:val="22"/>
          </w:rPr>
          <w:t>https://www.ni.com/pdf/manuals/371931f.pdf</w:t>
        </w:r>
      </w:hyperlink>
      <w:r>
        <w:rPr>
          <w:rFonts w:eastAsia="等线" w:ascii="Arial" w:cs="Arial" w:hAnsi="Arial"/>
          <w:sz w:val="22"/>
        </w:rPr>
        <w:t>）进行操作：下载NI-DAQmx驱动，通过USB将DAQ卡连接至计算机。</w:t>
      </w:r>
    </w:p>
    <w:p>
      <w:pPr>
        <w:numPr>
          <w:numId w:val="30"/>
        </w:numPr>
        <w:spacing w:before="120" w:after="120" w:line="288" w:lineRule="auto"/>
        <w:ind w:left="0"/>
        <w:jc w:val="left"/>
      </w:pPr>
      <w:r>
        <w:rPr>
          <w:rFonts w:eastAsia="等线" w:ascii="Arial" w:cs="Arial" w:hAnsi="Arial"/>
          <w:sz w:val="22"/>
        </w:rPr>
        <w:t>参考DAQ卡手册的模拟输入（AI）章节（如NI USB-621x手册2009年4月版第4章），了解模拟输入信号的可用连接模式。</w:t>
      </w:r>
    </w:p>
    <w:p>
      <w:pPr>
        <w:numPr>
          <w:numId w:val="31"/>
        </w:numPr>
        <w:spacing w:before="120" w:after="120" w:line="288" w:lineRule="auto"/>
        <w:ind w:left="0"/>
        <w:jc w:val="left"/>
      </w:pPr>
      <w:r>
        <w:rPr>
          <w:rFonts w:eastAsia="等线" w:ascii="Arial" w:cs="Arial" w:hAnsi="Arial"/>
          <w:sz w:val="22"/>
        </w:rPr>
        <w:t>选择一个DAQ卡的AI端子用于后续连接APD输出电压信号（注意：信号需连接在选定的AI端子与DAQ卡的AI地（AI GND）端子之间）；通过BNC电缆将该端子与APD连接，根据DAQ卡型号，可能需要将BNC接头焊接至短双绞线，再接入DAQ卡的螺丝端子。</w:t>
      </w:r>
    </w:p>
    <w:p>
      <w:pPr>
        <w:numPr>
          <w:numId w:val="32"/>
        </w:numPr>
        <w:spacing w:before="120" w:after="120" w:line="288" w:lineRule="auto"/>
        <w:ind w:left="0"/>
        <w:jc w:val="left"/>
      </w:pPr>
      <w:r>
        <w:rPr>
          <w:rFonts w:eastAsia="等线" w:ascii="Arial" w:cs="Arial" w:hAnsi="Arial"/>
          <w:sz w:val="22"/>
        </w:rPr>
        <w:t>将两个脉冲发生器通道连接至DAQ卡的两个PFI端子，接地端子连接至DAQ卡的数字地（D GND）；根据DAQ卡型号，可能需要将BNC接头焊接至短双绞线，再接入DAQ卡的螺丝端子；这两个脉冲发生器通道分别作为DAQ卡采集APD电压信号时的“采样时钟”和“启动触发”信号源（参考DAQ卡手册的模拟输入定时信号章节，如NI USB-621x手册2009年4月版第4-11至4-22页）。</w:t>
      </w:r>
    </w:p>
    <w:p>
      <w:pPr>
        <w:spacing w:before="120" w:after="120" w:line="288" w:lineRule="auto"/>
        <w:ind w:left="0"/>
        <w:jc w:val="left"/>
      </w:pPr>
      <w:r>
        <w:rPr>
          <w:rFonts w:eastAsia="等线" w:ascii="Arial" w:cs="Arial" w:hAnsi="Arial"/>
          <w:sz w:val="22"/>
        </w:rPr>
        <w:t>关键步骤：本方案使用的DAQ配置和APD信号连接方式基于“参考单端（RSE）连接”；若用户选择差分连接，需相应修改qdSpectro软件中DAQcontrol.py脚本的configureDAQ()函数。</w:t>
      </w:r>
    </w:p>
    <w:p>
      <w:pPr>
        <w:numPr>
          <w:numId w:val="33"/>
        </w:numPr>
        <w:spacing w:before="120" w:after="120" w:line="288" w:lineRule="auto"/>
        <w:ind w:left="0"/>
        <w:jc w:val="left"/>
      </w:pPr>
      <w:r>
        <w:rPr>
          <w:rFonts w:eastAsia="等线" w:ascii="Arial" w:cs="Arial" w:hAnsi="Arial"/>
          <w:sz w:val="22"/>
        </w:rPr>
        <w:t>用Notepad++打开connectionConfig.py文件，在“DAQ connections”部分：</w:t>
      </w:r>
    </w:p>
    <w:p>
      <w:pPr>
        <w:numPr>
          <w:numId w:val="34"/>
        </w:numPr>
        <w:spacing w:before="120" w:after="120" w:line="288" w:lineRule="auto"/>
        <w:ind w:left="453"/>
        <w:jc w:val="left"/>
      </w:pPr>
      <w:r>
        <w:rPr>
          <w:rFonts w:eastAsia="等线" w:ascii="Arial" w:cs="Arial" w:hAnsi="Arial"/>
          <w:sz w:val="22"/>
        </w:rPr>
        <w:t>编辑DAQ_APDInput、DAQ_SampleClk、DAQ_StartTrig变量的定义，使其与选定的APD电压信号输入端子、脉冲发生器生成的采样时钟端子、启动触发端子名称一致（例如：若启动触发信号连接至DAQ卡的PFI5端子，则定义为DAQ_StartTrig="PFI5"）；</w:t>
      </w:r>
    </w:p>
    <w:p>
      <w:pPr>
        <w:numPr>
          <w:numId w:val="35"/>
        </w:numPr>
        <w:spacing w:before="120" w:after="120" w:line="288" w:lineRule="auto"/>
        <w:ind w:left="453"/>
        <w:jc w:val="left"/>
      </w:pPr>
      <w:r>
        <w:rPr>
          <w:rFonts w:eastAsia="等线" w:ascii="Arial" w:cs="Arial" w:hAnsi="Arial"/>
          <w:sz w:val="22"/>
        </w:rPr>
        <w:t>定义APD连接的AI通道名称时，建议运行National Instruments Measurement and Automation Explorer（NI MAX）程序确认DAQ卡的设备名称（例如：NI USB-6211对应的设备名称可能为“Dev2”），若APD连接至ai1端子，则AI通道名称为“Dev2/ai1”；</w:t>
      </w:r>
    </w:p>
    <w:p>
      <w:pPr>
        <w:numPr>
          <w:numId w:val="36"/>
        </w:numPr>
        <w:spacing w:before="120" w:after="120" w:line="288" w:lineRule="auto"/>
        <w:ind w:left="453"/>
        <w:jc w:val="left"/>
      </w:pPr>
      <w:r>
        <w:rPr>
          <w:rFonts w:eastAsia="等线" w:ascii="Arial" w:cs="Arial" w:hAnsi="Arial"/>
          <w:sz w:val="22"/>
        </w:rPr>
        <w:t>设置DAQ_MaxSamplingRate为所使用National Instruments DAQ卡的最大采样率（单位：采样点/通道/秒）；</w:t>
      </w:r>
    </w:p>
    <w:p>
      <w:pPr>
        <w:numPr>
          <w:numId w:val="37"/>
        </w:numPr>
        <w:spacing w:before="120" w:after="120" w:line="288" w:lineRule="auto"/>
        <w:ind w:left="453"/>
        <w:jc w:val="left"/>
      </w:pPr>
      <w:r>
        <w:rPr>
          <w:rFonts w:eastAsia="等线" w:ascii="Arial" w:cs="Arial" w:hAnsi="Arial"/>
          <w:sz w:val="22"/>
        </w:rPr>
        <w:t>设置minVoltage和maxVoltage（单位：伏特），需匹配DAQ卡支持的AI电压范围，并能覆盖APD的输出电压范围（参考DAQ卡手册的“模拟输入”章节，如NI USB-621x手册2009年4月版中的电压范围表）。</w:t>
      </w:r>
    </w:p>
    <w:p>
      <w:pPr>
        <w:spacing w:before="120" w:after="120" w:line="288" w:lineRule="auto"/>
        <w:ind w:left="453"/>
        <w:jc w:val="left"/>
      </w:pPr>
      <w:r>
        <w:rPr>
          <w:rFonts w:eastAsia="等线" w:ascii="Arial" w:cs="Arial" w:hAnsi="Arial"/>
          <w:sz w:val="22"/>
        </w:rPr>
        <w:t>在connectionConfig.py文件的“PulseBlaster connections”部分：</w:t>
      </w:r>
    </w:p>
    <w:p>
      <w:pPr>
        <w:numPr>
          <w:numId w:val="38"/>
        </w:numPr>
        <w:spacing w:before="120" w:after="120" w:line="288" w:lineRule="auto"/>
        <w:ind w:left="453"/>
        <w:jc w:val="left"/>
      </w:pPr>
      <w:r>
        <w:rPr>
          <w:rFonts w:eastAsia="等线" w:ascii="Arial" w:cs="Arial" w:hAnsi="Arial"/>
          <w:sz w:val="22"/>
        </w:rPr>
        <w:t>编辑PB_DAQ和PB_STARTtrig变量的定义，使其与选定的脉冲发生器输出位一致（例如：使用SP18A ESR-PRO脉冲发生器板，选择位2（对应板上的BNC2连接器，见PulseBlasterESR-PRO手册2017年9月版图10）输出启动触发脉冲，则定义为PB_STARTtrig=2）；</w:t>
      </w:r>
    </w:p>
    <w:p>
      <w:pPr>
        <w:numPr>
          <w:numId w:val="39"/>
        </w:numPr>
        <w:spacing w:before="120" w:after="120" w:line="288" w:lineRule="auto"/>
        <w:ind w:left="453"/>
        <w:jc w:val="left"/>
      </w:pPr>
      <w:r>
        <w:rPr>
          <w:rFonts w:eastAsia="等线" w:ascii="Arial" w:cs="Arial" w:hAnsi="Arial"/>
          <w:sz w:val="22"/>
        </w:rPr>
        <w:t>保存对connectionConfig.py的修改；</w:t>
      </w:r>
    </w:p>
    <w:p>
      <w:pPr>
        <w:numPr>
          <w:numId w:val="40"/>
        </w:numPr>
        <w:spacing w:before="120" w:after="120" w:line="288" w:lineRule="auto"/>
        <w:ind w:left="453"/>
        <w:jc w:val="left"/>
      </w:pPr>
      <w:r>
        <w:rPr>
          <w:rFonts w:eastAsia="等线" w:ascii="Arial" w:cs="Arial" w:hAnsi="Arial"/>
          <w:sz w:val="22"/>
        </w:rPr>
        <w:t>可通过示波器监测脉冲发生器通道，并运行qdSpectro软件包中的togglePBchan.py脚本（见方框2），验证脉冲发生器通道定义的正确性。</w:t>
      </w:r>
    </w:p>
    <w:p>
      <w:pPr>
        <w:spacing w:before="120" w:after="120" w:line="288" w:lineRule="auto"/>
        <w:ind w:left="0"/>
        <w:jc w:val="left"/>
      </w:pPr>
      <w:r>
        <w:rPr>
          <w:rFonts w:eastAsia="等线" w:ascii="Arial" w:cs="Arial" w:hAnsi="Arial"/>
          <w:sz w:val="22"/>
        </w:rPr>
        <w:t>警告：在继续操作前，确保所有将靠近激光系统或操作激光的人员已完成所在机构要求的激光安全培训；实验室和激光系统本身需符合相关激光安全规程；研究者应遵守基本激光安全操作规范，包括佩戴激光护目镜、不佩戴反光物品、避免头部处于激光高度水平。</w:t>
      </w:r>
    </w:p>
    <w:p>
      <w:pPr>
        <w:spacing w:before="120" w:after="120" w:line="288" w:lineRule="auto"/>
        <w:ind w:left="0"/>
        <w:jc w:val="left"/>
      </w:pPr>
      <w:r>
        <w:rPr>
          <w:rFonts w:eastAsia="等线" w:ascii="Arial" w:cs="Arial" w:hAnsi="Arial"/>
          <w:sz w:val="22"/>
        </w:rPr>
        <w:t>警告：在继续操作前，确保所有将靠近实验装置或操作设备的人员已完成所在机构要求的微波和射频安全培训；尤其需熟悉微波源、放大器和天线的安全操作方法。</w:t>
      </w:r>
    </w:p>
    <w:p>
      <w:pPr>
        <w:pStyle w:val="4"/>
        <w:spacing w:before="260" w:after="120" w:line="288" w:lineRule="auto"/>
        <w:ind w:left="0"/>
        <w:jc w:val="left"/>
        <w:outlineLvl w:val="3"/>
      </w:pPr>
      <w:bookmarkStart w:name="heading_6" w:id="6"/>
      <w:r>
        <w:rPr>
          <w:rFonts w:eastAsia="等线" w:ascii="Arial" w:cs="Arial" w:hAnsi="Arial"/>
          <w:b w:val="true"/>
          <w:sz w:val="28"/>
        </w:rPr>
        <w:t>33–36 声光调制器（AOM）的安装与对准（耗时：1周）</w:t>
      </w:r>
      <w:bookmarkEnd w:id="6"/>
    </w:p>
    <w:p>
      <w:pPr>
        <w:numPr>
          <w:numId w:val="41"/>
        </w:numPr>
        <w:spacing w:before="120" w:after="120" w:line="288" w:lineRule="auto"/>
        <w:ind w:left="0"/>
        <w:jc w:val="left"/>
      </w:pPr>
      <w:r>
        <w:rPr>
          <w:rFonts w:eastAsia="等线" w:ascii="Arial" w:cs="Arial" w:hAnsi="Arial"/>
          <w:sz w:val="22"/>
        </w:rPr>
        <w:t>参考AOM手册确定其所需的射频输入功率；根据AOM驱动器的型号，可能有多种方式实现AOM驱动的开关控制；通常，AOM驱动系统由射频振荡器（频率需匹配AOM，本方案为80MHz）和射频放大器组成；本方案使用商用IntraAction AOM驱动器，其内部射频振荡器通过普通BNC电缆与放大器连接；为实现高消光比开关控制，需断开振荡器与放大器的连接，在两者之间插入微波开关，振荡器输出端连接至开关输入端，开关输出端（RF2）连接至放大器输入端；操作时需确保组件和电缆的绝缘隔离，避免不必要的接地或短路；将开关的第二个输出端（RF1）接50Ω负载（方框3）；用电源为开关提供±5V供电；选择一个脉冲发生器通道控制该开关，将该通道连接至开关的TTL输入端；在connectionConfig.py文件中更新PB_AOM变量的定义，使其与该脉冲发生器通道的输出位编号一致；将放大器输出连接至AOM输入端前，需确保输入功率不超过AOM手册规定的最大值：先通过射频功率计测量驱动功率，再进行相应调整；功率调整完成后，关闭驱动器，将其连接至AOM。</w:t>
      </w:r>
    </w:p>
    <w:p>
      <w:pPr>
        <w:spacing w:before="120" w:after="120" w:line="288" w:lineRule="auto"/>
        <w:ind w:left="0"/>
        <w:jc w:val="left"/>
      </w:pPr>
      <w:r>
        <w:rPr>
          <w:rFonts w:eastAsia="等线" w:ascii="Arial" w:cs="Arial" w:hAnsi="Arial"/>
          <w:sz w:val="22"/>
        </w:rPr>
        <w:t>关键步骤：不同类型AOM的步骤33–35操作可能存在差异，需参考其手册进行正确安装和对准；总体流程可参考图4（光学系统）和图5（电子系统）。</w:t>
      </w:r>
    </w:p>
    <w:p>
      <w:pPr>
        <w:numPr>
          <w:numId w:val="42"/>
        </w:numPr>
        <w:spacing w:before="120" w:after="120" w:line="288" w:lineRule="auto"/>
        <w:ind w:left="0"/>
        <w:jc w:val="left"/>
      </w:pPr>
      <w:r>
        <w:rPr>
          <w:rFonts w:eastAsia="等线" w:ascii="Arial" w:cs="Arial" w:hAnsi="Arial"/>
          <w:sz w:val="22"/>
        </w:rPr>
        <w:t>将532nm激光安装在光学平台上；实验光学系统的一种典型布局如图4所示；激光束腰直径不得超过AOM的通光孔径；为满足此要求，可使用由焦距400mm和50mm的透镜组成的望远镜系统（两透镜间距为焦距之和），对光束进行8倍缩束，同时保持光束的准直性，再入射至AOM；将带1英寸光学柱（Thorlabs TR1）的底座支架（Thorlabs PH082E）安装在5轴对准器上，将AOM固定在1英寸光学柱上；建议为AOM安装散热片以提高散热效率；将装有AOM的5轴对准器放置在激光光路中，位于50mm焦距透镜前方数厘米处；开启激光，将功率衰减至&lt;1mW用于对准；通过togglePBchan.py脚本（方框2）开启控制AOM开关的脉冲发生器通道；调整AOM的高度和位置，使激光束穿过AOM通光孔径的中心；在AOM后方放置一张纸或纸板，观察激光光斑（佩戴激光护目镜有助于观察，因其可阻挡强激光，仅让纸张/纸板的微弱发光透过）；开启AOM驱动器，当AOM对准接近完成时，可观察到0级和1级衍射光斑；用光阑遮挡0级衍射光，仅让1级衍射光通过；用功率计测量光阑后的1级衍射光功率；调整5轴对准器的各个自由度，使1级衍射光的功率最大化；适当调整AOM驱动器的射频功率也可提高衍射效率，但需注意功率过高会导致多级衍射光斑出现，甚至损坏AOM；优化完成后，测量1级和0级衍射光的功率比，并与AOM手册标注的衍射效率进行对比。</w:t>
      </w:r>
    </w:p>
    <w:p>
      <w:pPr>
        <w:spacing w:before="120" w:after="120" w:line="288" w:lineRule="auto"/>
        <w:ind w:left="0"/>
        <w:jc w:val="left"/>
      </w:pPr>
      <w:r>
        <w:rPr>
          <w:rFonts w:eastAsia="等线" w:ascii="Arial" w:cs="Arial" w:hAnsi="Arial"/>
          <w:sz w:val="22"/>
        </w:rPr>
        <w:t>关键步骤：检测消光比（AOM开启和关闭时1级光束的功率比），需达到8000–10000；若未达到，可通过下一步操作优化。</w:t>
      </w:r>
    </w:p>
    <w:p>
      <w:pPr>
        <w:numPr>
          <w:numId w:val="43"/>
        </w:numPr>
        <w:spacing w:before="120" w:after="120" w:line="288" w:lineRule="auto"/>
        <w:ind w:left="0"/>
        <w:jc w:val="left"/>
      </w:pPr>
      <w:r>
        <w:rPr>
          <w:rFonts w:eastAsia="等线" w:ascii="Arial" w:cs="Arial" w:hAnsi="Arial"/>
          <w:sz w:val="22"/>
        </w:rPr>
        <w:t>为提高消光比，在光阑后方放置焦距100mm的透镜，将1级衍射光聚焦；在该透镜的焦平面处，放置安装在平移透镜架上的200μm针孔，用于精细横向调整；在针孔后方放置焦距200mm的透镜，将光束重新准直。</w:t>
      </w:r>
    </w:p>
    <w:p>
      <w:pPr>
        <w:numPr>
          <w:numId w:val="44"/>
        </w:numPr>
        <w:spacing w:before="120" w:after="120" w:line="288" w:lineRule="auto"/>
        <w:ind w:left="0"/>
        <w:jc w:val="left"/>
      </w:pPr>
      <w:r>
        <w:rPr>
          <w:rFonts w:eastAsia="等线" w:ascii="Arial" w:cs="Arial" w:hAnsi="Arial"/>
          <w:sz w:val="22"/>
        </w:rPr>
        <w:t>在针孔与200mm焦距透镜之间，放置一个安装在连续旋转架上的λ/2波片（图4）；波片在激光光路中的具体位置（AOM之后）无严格要求。</w:t>
      </w:r>
    </w:p>
    <w:p>
      <w:pPr>
        <w:pStyle w:val="4"/>
        <w:spacing w:before="260" w:after="120" w:line="288" w:lineRule="auto"/>
        <w:ind w:left="0"/>
        <w:jc w:val="left"/>
        <w:outlineLvl w:val="3"/>
      </w:pPr>
      <w:bookmarkStart w:name="heading_7" w:id="7"/>
      <w:r>
        <w:rPr>
          <w:rFonts w:eastAsia="等线" w:ascii="Arial" w:cs="Arial" w:hAnsi="Arial"/>
          <w:b w:val="true"/>
          <w:sz w:val="28"/>
        </w:rPr>
        <w:t>37–39 磁体在XY平移台与旋转平台上的安装（耗时：2天）</w:t>
      </w:r>
      <w:bookmarkEnd w:id="7"/>
    </w:p>
    <w:p>
      <w:pPr>
        <w:numPr>
          <w:numId w:val="45"/>
        </w:numPr>
        <w:spacing w:before="120" w:after="120" w:line="288" w:lineRule="auto"/>
        <w:ind w:left="0"/>
        <w:jc w:val="left"/>
      </w:pPr>
      <w:r>
        <w:rPr>
          <w:rFonts w:eastAsia="等线" w:ascii="Arial" w:cs="Arial" w:hAnsi="Arial"/>
          <w:sz w:val="22"/>
        </w:rPr>
        <w:t>在激光平台上，用四个1.5英寸底座支柱（Thorlabs RS1.5P）安装带旋转平台的XY平移台，该平台用于固定APD和定位NV实验的中心位置；实验装置的整体布局和激光平台上各组件的相对位置可参考图4；在平台旋转轴的中心下方，安装一个1英寸底座支架（Thorlabs PH082E）。</w:t>
      </w:r>
    </w:p>
    <w:p>
      <w:pPr>
        <w:numPr>
          <w:numId w:val="46"/>
        </w:numPr>
        <w:spacing w:before="120" w:after="120" w:line="288" w:lineRule="auto"/>
        <w:ind w:left="0"/>
        <w:jc w:val="left"/>
      </w:pPr>
      <w:r>
        <w:rPr>
          <w:rFonts w:eastAsia="等线" w:ascii="Arial" w:cs="Arial" w:hAnsi="Arial"/>
          <w:sz w:val="22"/>
        </w:rPr>
        <w:t>在安装底座的同一短边上方，安装两个3英寸底座支柱（Thorlabs RS3P）；在底座支柱顶部安装带1英寸平移台的直角支架，平移台的千分螺丝需朝上；在1英寸平移台的上部安装2英寸直径手动旋转台；将组装好的部件通过边缘的螺丝孔固定在带旋转平台的XY平移台上，平台中心区域需预留空间，用于后续安装APD。</w:t>
      </w:r>
    </w:p>
    <w:p>
      <w:pPr>
        <w:numPr>
          <w:numId w:val="47"/>
        </w:numPr>
        <w:spacing w:before="120" w:after="120" w:line="288" w:lineRule="auto"/>
        <w:ind w:left="0"/>
        <w:jc w:val="left"/>
      </w:pPr>
      <w:r>
        <w:rPr>
          <w:rFonts w:eastAsia="等线" w:ascii="Arial" w:cs="Arial" w:hAnsi="Arial"/>
          <w:sz w:val="22"/>
        </w:rPr>
        <w:t>在燕尾槽光学导轨上安装两个燕尾槽滑块，间距3–4英寸；在每个滑块上安装一个带0.75英寸铝柱（Thorlabs TRA075）的1/4英寸行程单轴平移台，平移轴需与光学导轨平行；用瞬干胶将两个永磁体分别粘在两个紧凑型精密反射镜架的中心。</w:t>
      </w:r>
    </w:p>
    <w:p>
      <w:pPr>
        <w:spacing w:before="120" w:after="120" w:line="288" w:lineRule="auto"/>
        <w:ind w:left="0"/>
        <w:jc w:val="left"/>
      </w:pPr>
      <w:r>
        <w:rPr>
          <w:rFonts w:eastAsia="等线" w:ascii="Arial" w:cs="Arial" w:hAnsi="Arial"/>
          <w:sz w:val="22"/>
        </w:rPr>
        <w:t>关键步骤：确保一个磁体的北极朝下，另一个的南极朝下；磁体取向正确时会相互吸引；通过1英寸支柱（Thorlabs TRA1）和直角端夹，将每个反射镜架固定在0.75英寸铝柱上，磁体需相对放置且与滑块平行；将组装好的导轨安装在2英寸直径旋转台的中心（图10）。</w:t>
      </w:r>
    </w:p>
    <w:p>
      <w:pPr>
        <w:pStyle w:val="4"/>
        <w:spacing w:before="260" w:after="120" w:line="288" w:lineRule="auto"/>
        <w:ind w:left="0"/>
        <w:jc w:val="left"/>
        <w:outlineLvl w:val="3"/>
      </w:pPr>
      <w:bookmarkStart w:name="heading_8" w:id="8"/>
      <w:r>
        <w:rPr>
          <w:rFonts w:eastAsia="等线" w:ascii="Arial" w:cs="Arial" w:hAnsi="Arial"/>
          <w:b w:val="true"/>
          <w:sz w:val="28"/>
        </w:rPr>
        <w:t>40–46 激发与探测组件的组装（耗时：2天）</w:t>
      </w:r>
      <w:bookmarkEnd w:id="8"/>
    </w:p>
    <w:p>
      <w:pPr>
        <w:numPr>
          <w:numId w:val="48"/>
        </w:numPr>
        <w:spacing w:before="120" w:after="120" w:line="288" w:lineRule="auto"/>
        <w:ind w:left="0"/>
        <w:jc w:val="left"/>
      </w:pPr>
      <w:r>
        <w:rPr>
          <w:rFonts w:eastAsia="等线" w:ascii="Arial" w:cs="Arial" w:hAnsi="Arial"/>
          <w:sz w:val="22"/>
        </w:rPr>
        <w:t>在大面积APD顶部的螺纹孔处，用两个固定90°支架安装两个2英寸微型安装柱（Thorlabs MS2R），安装柱需与APD边缘和顶部平行，且相互平行；该安装柱用于固定APD，并将光导和荧光滤光片安装至APD；将两个1英寸微型安装柱拧入两个90°支架，使其垂直于APD表面，且分别位于APD不同的2英寸微型安装柱和不同角部；将带外部SM1螺纹和内部SM05螺纹的转接器拧入可拆卸笼板，使其与磁性面齐平；在转接器的另一侧拧入透镜筒；用两个固定环将荧光滤光片（如Semrock BLP01-647R）安装在透镜筒的末端；将组装好的滤光片支架安装在APD的微型安装柱上（图11），确保荧光滤光片直接贴合APD。</w:t>
      </w:r>
    </w:p>
    <w:p>
      <w:pPr>
        <w:numPr>
          <w:numId w:val="49"/>
        </w:numPr>
        <w:spacing w:before="120" w:after="120" w:line="288" w:lineRule="auto"/>
        <w:ind w:left="0"/>
        <w:jc w:val="left"/>
      </w:pPr>
      <w:r>
        <w:rPr>
          <w:rFonts w:eastAsia="等线" w:ascii="Arial" w:cs="Arial" w:hAnsi="Arial"/>
          <w:sz w:val="22"/>
        </w:rPr>
        <w:t>用8-32紧定螺丝将1英寸和1.5英寸长的光学柱组合成一个2.5英寸长的支柱；将该加长支柱安装在安装底座的中心，该支柱将插入步骤37中旋转平台下方的底座支架内；用1/4英寸20紧定螺丝，将剩余的1英寸和1.5英寸光学柱再组合成两个2.5英寸长的支柱；将这两个光学柱安装在安装底座的顶部同一槽内；将旋转支柱夹分成两部分，取下带沉头孔一端的翼形螺丝；将两个支柱夹部分安装在2.5英寸支柱上，通孔需与安装底座的长边平行，翼形螺丝朝外；调整2.5英寸支柱的间距，使APD上的2英寸微型安装柱能滑入支柱夹中；将组装好的APD支架放入步骤37中旋转平台下方的底座支架内，确保安装底座与旋转平台之间留有足够距离，使平台能自由移动；用光学环氧胶将金刚石中心对齐粘贴在光导（如50mm长、4mm孔径的六边形光导，直径需匹配金刚石尺寸）的顶部。</w:t>
      </w:r>
    </w:p>
    <w:p>
      <w:pPr>
        <w:spacing w:before="120" w:after="120" w:line="288" w:lineRule="auto"/>
        <w:ind w:left="0"/>
        <w:jc w:val="left"/>
      </w:pPr>
      <w:r>
        <w:rPr>
          <w:rFonts w:eastAsia="等线" w:ascii="Arial" w:cs="Arial" w:hAnsi="Arial"/>
          <w:sz w:val="22"/>
        </w:rPr>
        <w:t>关键步骤：胶水量需尽可能少，确保NV层朝上（见步骤45）；取下光导支架的一个固定环，将其套在光导上；将带光导的固定环放入带光滑内孔（16mm直径）的SM1螺纹转接器中，通过螺丝固定光导；将螺纹转接器拧入可拆卸笼板的前部，使其与APD上的磁性部件贴合；将光导向下推送至与荧光滤光片接触。</w:t>
      </w:r>
    </w:p>
    <w:p>
      <w:pPr>
        <w:spacing w:before="120" w:after="120" w:line="288" w:lineRule="auto"/>
        <w:ind w:left="0"/>
        <w:jc w:val="left"/>
      </w:pPr>
      <w:r>
        <w:rPr>
          <w:rFonts w:eastAsia="等线" w:ascii="Arial" w:cs="Arial" w:hAnsi="Arial"/>
          <w:sz w:val="22"/>
        </w:rPr>
        <w:t>关键步骤：避免刮伤滤光片。</w:t>
      </w:r>
    </w:p>
    <w:p>
      <w:pPr>
        <w:numPr>
          <w:numId w:val="50"/>
        </w:numPr>
        <w:spacing w:before="120" w:after="120" w:line="288" w:lineRule="auto"/>
        <w:ind w:left="0"/>
        <w:jc w:val="left"/>
      </w:pPr>
      <w:r>
        <w:rPr>
          <w:rFonts w:eastAsia="等线" w:ascii="Arial" w:cs="Arial" w:hAnsi="Arial"/>
          <w:sz w:val="22"/>
        </w:rPr>
        <w:t>在APD的金属侧安装散热片，涂抹导热膏以改善热接触。</w:t>
      </w:r>
    </w:p>
    <w:p>
      <w:pPr>
        <w:spacing w:before="120" w:after="120" w:line="288" w:lineRule="auto"/>
        <w:ind w:left="0"/>
        <w:jc w:val="left"/>
      </w:pPr>
      <w:r>
        <w:rPr>
          <w:rFonts w:eastAsia="等线" w:ascii="Arial" w:cs="Arial" w:hAnsi="Arial"/>
          <w:sz w:val="22"/>
        </w:rPr>
        <w:t>警告：请查阅导热膏的安全数据表，按要求操作；散热片需通过小型风扇进一步冷却，具体细节参考APD手册；用电源为APD提供±12V和GND供电，APD的内置冷却系统需连接+5V和GND。</w:t>
      </w:r>
    </w:p>
    <w:p>
      <w:pPr>
        <w:numPr>
          <w:numId w:val="51"/>
        </w:numPr>
        <w:spacing w:before="120" w:after="120" w:line="288" w:lineRule="auto"/>
        <w:ind w:left="0"/>
        <w:jc w:val="left"/>
      </w:pPr>
      <w:r>
        <w:rPr>
          <w:rFonts w:eastAsia="等线" w:ascii="Arial" w:cs="Arial" w:hAnsi="Arial"/>
          <w:sz w:val="22"/>
        </w:rPr>
        <w:t>在针孔后方的激光光路中安装两个反射镜（图4），用于将激光束导向并对准金刚石（图4插图）；用第三个反射镜（通过直角夹和1英寸支柱固定）将激光束折转90°，使其偏离光学平台，朝向金刚石（图4）；对准过程中确保激光功率&lt;1mW，开启AOM使激光射向金刚石；激光可直接通过金刚石的抛光侧面入射，或先通过光导的一个端面入射（图4），再进入金刚石的底面；无论哪种方式，入射角度需满足金刚石-样品界面的全反射条件；用透镜（如焦距30mm）将激光聚焦至金刚石上，透镜焦距取决于激光束直径和NV层所需的激光光斑尺寸（本方案设计的焦斑直径约30μm）；为实现激光光斑在金刚石上的定位，将透镜安装在透镜架上，透镜架固定在两个1英寸铝柱（Thorlabs TRA1）上，铝柱另一端拧入带底座的1/2英寸XYZ燕尾槽平移台；调整透镜取向，使平移台的一个平移轴与透镜光轴平行，通过该自由度可调整焦斑在金刚石上的位置；用直角夹和足够数量的支柱将平移台固定在光学平台上（图12），透镜与金刚石的距离大致等于其焦距。</w:t>
      </w:r>
    </w:p>
    <w:p>
      <w:pPr>
        <w:numPr>
          <w:numId w:val="52"/>
        </w:numPr>
        <w:spacing w:before="120" w:after="120" w:line="288" w:lineRule="auto"/>
        <w:ind w:left="0"/>
        <w:jc w:val="left"/>
      </w:pPr>
      <w:r>
        <w:rPr>
          <w:rFonts w:eastAsia="等线" w:ascii="Arial" w:cs="Arial" w:hAnsi="Arial"/>
          <w:sz w:val="22"/>
        </w:rPr>
        <w:t>精细调整激光光斑对准：首先观察从金刚石上表面反射的激光束，确保其出射角度与入射角度大致相同；其次，将激光光斑移至金刚石的NV区域；佩戴激光护目镜，提高激光功率，观察金刚石上由NV荧光产生的红色光斑（本方案通常使用L4后的连续激光功率约50–100mW）；调整聚焦透镜，使NV层处的激光光斑尺寸最小化；通常可观察到两个弱红色光斑和一个强红色光斑，弱光斑由光导-胶水-金刚石界面的反射产生；若在金刚石底部观察到两个强光斑，说明金刚石安装错误（NV层朝下），此时需用丙酮溶解胶水，取下金刚石，按步骤1–11进行酸清洗后，重新将NV层朝上粘贴。</w:t>
      </w:r>
    </w:p>
    <w:p>
      <w:pPr>
        <w:spacing w:before="120" w:after="120" w:line="288" w:lineRule="auto"/>
        <w:ind w:left="0"/>
        <w:jc w:val="left"/>
      </w:pPr>
      <w:r>
        <w:rPr>
          <w:rFonts w:eastAsia="等线" w:ascii="Arial" w:cs="Arial" w:hAnsi="Arial"/>
          <w:sz w:val="22"/>
        </w:rPr>
        <w:t>故障排除：若无法观察到红色光斑，可参考表2的故障排除方案。</w:t>
      </w:r>
    </w:p>
    <w:p>
      <w:pPr>
        <w:numPr>
          <w:numId w:val="53"/>
        </w:numPr>
        <w:spacing w:before="120" w:after="120" w:line="288" w:lineRule="auto"/>
        <w:ind w:left="0"/>
        <w:jc w:val="left"/>
      </w:pPr>
      <w:r>
        <w:rPr>
          <w:rFonts w:eastAsia="等线" w:ascii="Arial" w:cs="Arial" w:hAnsi="Arial"/>
          <w:sz w:val="22"/>
        </w:rPr>
        <w:t>为APD供电，确保风扇正常冷却APD；通过示波器监测APD的输出电压，验证其对荧光的响应：切换AOM的开关状态，应能观察到电压变化；将APD输出连接至步骤29中选定的DAQ卡AI通道；本方案中，DAQ卡测量的光电压通常在100–400mV（约数百纳瓦）范围内。</w:t>
      </w:r>
    </w:p>
    <w:p>
      <w:pPr>
        <w:pStyle w:val="4"/>
        <w:spacing w:before="260" w:after="120" w:line="288" w:lineRule="auto"/>
        <w:ind w:left="0"/>
        <w:jc w:val="left"/>
        <w:outlineLvl w:val="3"/>
      </w:pPr>
      <w:bookmarkStart w:name="heading_9" w:id="9"/>
      <w:r>
        <w:rPr>
          <w:rFonts w:eastAsia="等线" w:ascii="Arial" w:cs="Arial" w:hAnsi="Arial"/>
          <w:b w:val="true"/>
          <w:sz w:val="28"/>
        </w:rPr>
        <w:t>47 微波传输环的制作（耗时：1小时）</w:t>
      </w:r>
      <w:bookmarkEnd w:id="9"/>
    </w:p>
    <w:p>
      <w:pPr>
        <w:numPr>
          <w:numId w:val="54"/>
        </w:numPr>
        <w:spacing w:before="120" w:after="120" w:line="288" w:lineRule="auto"/>
        <w:ind w:left="0"/>
        <w:jc w:val="left"/>
      </w:pPr>
      <w:r>
        <w:rPr>
          <w:rFonts w:eastAsia="等线" w:ascii="Arial" w:cs="Arial" w:hAnsi="Arial"/>
          <w:sz w:val="22"/>
        </w:rPr>
        <w:t>截取5cm长的半刚性同轴线；用剥线钳剥去约3mm的同轴线外皮和介质层，露出内导体；将SMA直焊插头的白色绝缘环套在同轴线一端；将金色引脚插入白色介质筒；将内导体焊接至金色引脚，确保白色绝缘环与介质筒接触良好；将连接引脚的同轴线插入SMA接头，引脚需朝向接头的螺纹部分；在接头的另一端，用焊料填充同轴线与SMA接头之间的间隙，实现接地的导电连接；在同轴线的另一端，剥去约3mm外皮和介质层，露出中心导体；将中心导体弯折成环，将其末端焊接至同轴线的外皮上。</w:t>
      </w:r>
    </w:p>
    <w:p>
      <w:pPr>
        <w:spacing w:before="120" w:after="120" w:line="288" w:lineRule="auto"/>
        <w:ind w:left="0"/>
        <w:jc w:val="left"/>
      </w:pPr>
      <w:r>
        <w:rPr>
          <w:rFonts w:eastAsia="等线" w:ascii="Arial" w:cs="Arial" w:hAnsi="Arial"/>
          <w:sz w:val="22"/>
        </w:rPr>
        <w:t>关键步骤：微波环的尺寸需根据所需的微波场强度和均匀性确定：小环产生的微波场强度高，但空间梯度大；大环则相反。</w:t>
      </w:r>
    </w:p>
    <w:p>
      <w:pPr>
        <w:pStyle w:val="4"/>
        <w:spacing w:before="260" w:after="120" w:line="288" w:lineRule="auto"/>
        <w:ind w:left="0"/>
        <w:jc w:val="left"/>
        <w:outlineLvl w:val="3"/>
      </w:pPr>
      <w:bookmarkStart w:name="heading_10" w:id="10"/>
      <w:r>
        <w:rPr>
          <w:rFonts w:eastAsia="等线" w:ascii="Arial" w:cs="Arial" w:hAnsi="Arial"/>
          <w:b w:val="true"/>
          <w:sz w:val="28"/>
        </w:rPr>
        <w:t>48–49 信号源设置（耗时：1天）</w:t>
      </w:r>
      <w:bookmarkEnd w:id="10"/>
    </w:p>
    <w:p>
      <w:pPr>
        <w:numPr>
          <w:numId w:val="55"/>
        </w:numPr>
        <w:spacing w:before="120" w:after="120" w:line="288" w:lineRule="auto"/>
        <w:ind w:left="0"/>
        <w:jc w:val="left"/>
      </w:pPr>
      <w:r>
        <w:rPr>
          <w:rFonts w:eastAsia="等线" w:ascii="Arial" w:cs="Arial" w:hAnsi="Arial"/>
          <w:sz w:val="22"/>
        </w:rPr>
        <w:t>用GPIB/USB转换器将微波信号源（SRS信号发生器）的GPIB端口连接至计算机的USB端口；按照SRS手册的GPIB设置说明（如SG380系列手册2.04版第46页），启用SRS信号发生器的GPIB接口并选择GPIB地址；在connectionConfig.py文件的“SRS connections”部分，设置GPIBaddr和modelName变量，分别对应SRS的GPIB地址和型号（例如：GPIBaddr=27，modelName=‘SG384’）。</w:t>
      </w:r>
    </w:p>
    <w:p>
      <w:pPr>
        <w:numPr>
          <w:numId w:val="56"/>
        </w:numPr>
        <w:spacing w:before="120" w:after="120" w:line="288" w:lineRule="auto"/>
        <w:ind w:left="0"/>
        <w:jc w:val="left"/>
      </w:pPr>
      <w:r>
        <w:rPr>
          <w:rFonts w:eastAsia="等线" w:ascii="Arial" w:cs="Arial" w:hAnsi="Arial"/>
          <w:sz w:val="22"/>
        </w:rPr>
        <w:t>关闭SRS的射频输出（若使用SRS SG384型号，可按“Shift”键+“AMPL”键，屏幕显示“N-type OFF”表示射频输出已关闭）；qdSpectro软件包的脚本会在实验过程中通过计算机发送远程命令开启SRS的射频输出，但在搭建微波光路时需保持输出关闭；安装一个微波开关，用电源为其提供±5V供电（图5）；通过N-SMA转接器和SMA电缆，将SRS信号发生器的射频输出端（SG384型号为N型输出）连接至开关的射频输入端（方框3）；选择一个脉冲发生器通道控制该开关，将该通道连接至开关的TTL输入端；在connectionConfig.py文件中相应更新PB_MW变量的定义；将开关的RF输出2连接至微波放大器的输入端，RF输出1接50Ω负载；为保护放大器输出免受潜在的微波反射损坏，可在放大器输出端连接一个环行器。</w:t>
      </w:r>
    </w:p>
    <w:p>
      <w:pPr>
        <w:spacing w:before="120" w:after="120" w:line="288" w:lineRule="auto"/>
        <w:ind w:left="0"/>
        <w:jc w:val="left"/>
      </w:pPr>
      <w:r>
        <w:rPr>
          <w:rFonts w:eastAsia="等线" w:ascii="Arial" w:cs="Arial" w:hAnsi="Arial"/>
          <w:sz w:val="22"/>
        </w:rPr>
        <w:t>警告：确保环行器与放大器的极性连接正确；通过SMA电缆和SMA阴-阴转接器，将环行器与微波环连接；用SMA阴-阴转接器将微波环通过夹具固定在两个与平台连接的支柱上（直角夹固定）；调整安装高度，弯折同轴线，使微波环与金刚石接触，且激光光斑位于环的中心（图13）。</w:t>
      </w:r>
    </w:p>
    <w:p>
      <w:pPr>
        <w:spacing w:before="120" w:after="120" w:line="288" w:lineRule="auto"/>
        <w:ind w:left="0"/>
        <w:jc w:val="left"/>
      </w:pPr>
      <w:r>
        <w:rPr>
          <w:rFonts w:eastAsia="等线" w:ascii="Arial" w:cs="Arial" w:hAnsi="Arial"/>
          <w:sz w:val="22"/>
        </w:rPr>
        <w:t>警告：参考放大器手册的操作说明，不得超过其最大输入功率；在向放大器输入端馈入射频信号前，确保放大器已开启（即已提供所需的直流电压）；放大器的一般开关顺序见方框4，但需优先遵循制造商手册或提供的安全指南。</w:t>
      </w:r>
    </w:p>
    <w:p>
      <w:pPr>
        <w:spacing w:before="120" w:after="120" w:line="288" w:lineRule="auto"/>
        <w:ind w:left="0"/>
        <w:jc w:val="left"/>
      </w:pPr>
      <w:r>
        <w:rPr>
          <w:rFonts w:eastAsia="等线" w:ascii="Arial" w:cs="Arial" w:hAnsi="Arial"/>
          <w:sz w:val="22"/>
        </w:rPr>
        <w:t>微波脉冲相位控制设置：核自旋传感实验需控制微波脉冲的相位，本方案通过SRS SG384信号发生器的内置IQ混频器实现；IQ混频器的详细描述和校准方法参考其手册；为实现四种相位控制（x=0°、-x=180°、y=90°、-y=270°，见表1），SG384需两个输入通道，每个通道可在±0.35V（≈0.5/√2 V）之间切换；使用输出±0.35V的稳定电源，在每个输出端通过T型接头分路；安装两个微波开关，将每个开关的RF输出1连接+0.35V，RF输出2连接-0.35V。</w:t>
      </w:r>
    </w:p>
    <w:p>
      <w:pPr>
        <w:spacing w:before="120" w:after="120" w:line="288" w:lineRule="auto"/>
        <w:ind w:left="0"/>
        <w:jc w:val="left"/>
      </w:pPr>
      <w:r>
        <w:rPr>
          <w:rFonts w:eastAsia="等线" w:ascii="Arial" w:cs="Arial" w:hAnsi="Arial"/>
          <w:sz w:val="22"/>
        </w:rPr>
        <w:t>关键步骤：确保两个通道的电压绝对值均为0.35V；将开关的输入端连接至SG384的IQ输入端；为开关提供±5V供电；将开关的TTL输入端连接至两个脉冲发生器通道，在connectionConfig.py文件中相应更新PB_I和PB_Q变量的定义。</w:t>
      </w:r>
    </w:p>
    <w:p>
      <w:pPr>
        <w:pStyle w:val="3"/>
        <w:spacing w:before="300" w:after="120" w:line="288" w:lineRule="auto"/>
        <w:ind w:left="0"/>
        <w:jc w:val="left"/>
        <w:outlineLvl w:val="2"/>
      </w:pPr>
      <w:bookmarkStart w:name="heading_11" w:id="11"/>
      <w:r>
        <w:rPr>
          <w:rFonts w:eastAsia="等线" w:ascii="Arial" w:cs="Arial" w:hAnsi="Arial"/>
          <w:b w:val="true"/>
          <w:sz w:val="30"/>
        </w:rPr>
        <w:t>三、NV金刚石表征实验（步骤50–58）</w:t>
      </w:r>
      <w:bookmarkEnd w:id="11"/>
    </w:p>
    <w:p>
      <w:pPr>
        <w:spacing w:before="120" w:after="120" w:line="288" w:lineRule="auto"/>
        <w:ind w:left="0"/>
        <w:jc w:val="left"/>
      </w:pPr>
      <w:r>
        <w:rPr>
          <w:rFonts w:eastAsia="等线" w:ascii="Arial" w:cs="Arial" w:hAnsi="Arial"/>
          <w:sz w:val="22"/>
        </w:rPr>
        <w:t>耗时：2周</w:t>
      </w:r>
    </w:p>
    <w:p>
      <w:pPr>
        <w:numPr>
          <w:numId w:val="57"/>
        </w:numPr>
        <w:spacing w:before="120" w:after="120" w:line="288" w:lineRule="auto"/>
        <w:ind w:left="0"/>
        <w:jc w:val="left"/>
      </w:pPr>
      <w:r>
        <w:rPr>
          <w:rFonts w:eastAsia="等线" w:ascii="Arial" w:cs="Arial" w:hAnsi="Arial"/>
          <w:sz w:val="22"/>
        </w:rPr>
        <w:t>在环境磁场下寻找NV-ESR跃迁（耗时：2天）：移除磁体，在近零外加磁场（即地磁场）环境下操作，便于首次寻找NV-ESR共振峰；qdSpectro软件包的使用方法见方框1；用Notepad++打开[ESRconfig.py](ESRconfig.py)文件，阅读脚本中定义的变量和数据处理选项说明，将频率扫描范围设置为2.7–3.0GHz，步长例如3MHz（即设置startFreq=2.7e9、endFreq=3e9、N_scanPts=101）；设置microwavePower变量（单位：dBm），使其低于放大器的最大输入功率（例如：使用Mini-Circuits ZHL-16W-43+放大器时，设置microwavePower=0）；设置脉冲序列持续时间（信号采集半周期）t_duration=80μs，每扫描点采样10000次（即在[ESRconfig.py](ESRconfig.py)中设置t_duration=80*us、Nsamples=10000）；开启微波放大器；运行命令“python [mainControl.py](mainControl.py) ESRconfig”；通过示波器监测所有脉冲发生器输出通道，与图6所示的脉冲序列进行对比；数据中应能观察到两个凹陷（图6a）；共振信号的对比度取决于微波功率、脉冲序列持续时间和金刚石特性。</w:t>
      </w:r>
    </w:p>
    <w:p>
      <w:pPr>
        <w:spacing w:before="120" w:after="120" w:line="288" w:lineRule="auto"/>
        <w:ind w:left="0"/>
        <w:jc w:val="left"/>
      </w:pPr>
      <w:r>
        <w:rPr>
          <w:rFonts w:eastAsia="等线" w:ascii="Arial" w:cs="Arial" w:hAnsi="Arial"/>
          <w:sz w:val="22"/>
        </w:rPr>
        <w:t>故障排除：若未观察到ESR信号，可参考表2的故障排除方案。</w:t>
      </w:r>
    </w:p>
    <w:p>
      <w:pPr>
        <w:numPr>
          <w:numId w:val="58"/>
        </w:numPr>
        <w:spacing w:before="120" w:after="120" w:line="288" w:lineRule="auto"/>
        <w:ind w:left="0"/>
        <w:jc w:val="left"/>
      </w:pPr>
      <w:r>
        <w:rPr>
          <w:rFonts w:eastAsia="等线" w:ascii="Arial" w:cs="Arial" w:hAnsi="Arial"/>
          <w:sz w:val="22"/>
        </w:rPr>
        <w:t>运行NV-ESR实验：磁场对准与调整（耗时：2天）；通过[togglePBchan.py](togglePBchan.py)脚本（方框2）关闭AOM；将磁体安装在导轨两端，使每个磁体与金刚石上的激光光斑大致等距；通过旋转平台的XY轴移动磁体，使金刚石和激光光斑位于两个磁体的中心；旋转平台，使磁体表面与金刚石边缘平行/垂直（若金刚石切割面垂直于[110]晶面），并将导轨倾斜约36°偏离水平面，实现外磁场B₀与某个NV轴的粗略对准；开启AOM，运行命令“python [mainControl.py](mainControl.py) ESRconfig”；根据磁场强度，将微波频率扫描范围设置为1.8–4GHz，步长3MHz；若磁场未对准四个可能的NV轴之一（大概率情况，见图14），NV-ESR谱图中最多可观察到8个跃迁峰（不含超精细相互作用导致的分裂峰）。</w:t>
      </w:r>
    </w:p>
    <w:p>
      <w:pPr>
        <w:spacing w:before="120" w:after="120" w:line="288" w:lineRule="auto"/>
        <w:ind w:left="0"/>
        <w:jc w:val="left"/>
      </w:pPr>
      <w:r>
        <w:rPr>
          <w:rFonts w:eastAsia="等线" w:ascii="Arial" w:cs="Arial" w:hAnsi="Arial"/>
          <w:sz w:val="22"/>
        </w:rPr>
        <w:t>关键步骤：不同NV取向对应的跃迁峰振幅可能不同，弱跃迁峰易被遗漏；可通过旋转λ/2波片调整激光偏振、移动微波环调整微波偏振（但达到高对比度后不建议调整），或在不超过放大器最大输入功率的前提下增大微波功率，以调整跃迁速率（进而调整共振峰振幅）；需注意，高微波功率会导致功率展宽。</w:t>
      </w:r>
    </w:p>
    <w:p>
      <w:pPr>
        <w:spacing w:before="120" w:after="120" w:line="288" w:lineRule="auto"/>
        <w:ind w:left="0"/>
        <w:jc w:val="left"/>
      </w:pPr>
      <w:r>
        <w:rPr>
          <w:rFonts w:eastAsia="等线" w:ascii="Arial" w:cs="Arial" w:hAnsi="Arial"/>
          <w:sz w:val="22"/>
        </w:rPr>
        <w:t>关键步骤：量子传感实验要求外磁场B₀沿某个NV轴取向，此时三个非轴向NV取向的共振峰重叠（它们感受到的B₀投影相同），谱图中仅出现四个共振峰（不含超精细分裂峰）（图14）；通过磁体安装座的两个旋转自由度调整磁场方向，也可通过粘贴磁体的反射镜架进行微调；当所有非轴向NV取向的共振峰在其线宽范围内重叠时，磁场失准度通常小于几度；对准完成后，拧紧旋转平台的紧定螺丝；通过导轨上的滑块调整磁场强度，根据观测到的塞曼位移，利用公式（6）计算磁场强度；例如：若需工作在310G磁场下，需将最低的NV共振峰调整至约2GHz。</w:t>
      </w:r>
    </w:p>
    <w:p>
      <w:pPr>
        <w:spacing w:before="120" w:after="120" w:line="288" w:lineRule="auto"/>
        <w:ind w:left="0"/>
        <w:jc w:val="left"/>
      </w:pPr>
      <w:r>
        <w:rPr>
          <w:rFonts w:eastAsia="等线" w:ascii="Arial" w:cs="Arial" w:hAnsi="Arial"/>
          <w:sz w:val="22"/>
        </w:rPr>
        <w:t>关键步骤：始终保持金刚石位于两个磁体的中心，否则磁场梯度会导致不必要的线宽展宽；为验证这一点，可降低微波功率以减小功率展宽，增加采样次数或平均次数以提高信噪比；观察频率最低（或最高）的共振峰（对应沿B₀取向的NV中心），若能观察到¹⁴N核自旋导致的超精细分裂峰，说明激光光斑范围内的磁场梯度&lt;1G，满足后续实验要求（图14插图）；在中等磁场（250–1000G）下，也可通过超精细峰的振幅判断磁场对准情况：对准不佳时，三个超精细峰的振幅相近；对准良好时，¹⁴N核会被极化（图14插图）。</w:t>
      </w:r>
    </w:p>
    <w:p>
      <w:pPr>
        <w:spacing w:before="120" w:after="120" w:line="288" w:lineRule="auto"/>
        <w:ind w:left="0"/>
        <w:jc w:val="left"/>
      </w:pPr>
      <w:r>
        <w:rPr>
          <w:rFonts w:eastAsia="等线" w:ascii="Arial" w:cs="Arial" w:hAnsi="Arial"/>
          <w:sz w:val="22"/>
        </w:rPr>
        <w:t>故障排除：若无法观察到超精细分裂峰，可参考表2的故障排除方案。</w:t>
      </w:r>
    </w:p>
    <w:p>
      <w:pPr>
        <w:numPr>
          <w:numId w:val="59"/>
        </w:numPr>
        <w:spacing w:before="120" w:after="120" w:line="288" w:lineRule="auto"/>
        <w:ind w:left="0"/>
        <w:jc w:val="left"/>
      </w:pPr>
      <w:r>
        <w:rPr>
          <w:rFonts w:eastAsia="等线" w:ascii="Arial" w:cs="Arial" w:hAnsi="Arial"/>
          <w:sz w:val="22"/>
        </w:rPr>
        <w:t>运行NV-ESR实验：确定ESR共振频率和B₀磁场强度（耗时：2小时）；用Notepad++打开[ESRconfig.py](ESRconfig.py)文件，将频率扫描范围调整至对准后预期的共振频率附近；通常选择驱动最低频率的共振峰（对应mₛ=0→mₛ=-1跃迁）；运行命令“python [mainControl.py](mainControl.py) ESRconfig”；根据共振峰的中心频率，利用公式（6）计算B₀磁场强度。</w:t>
      </w:r>
    </w:p>
    <w:p>
      <w:pPr>
        <w:numPr>
          <w:numId w:val="60"/>
        </w:numPr>
        <w:spacing w:before="120" w:after="120" w:line="288" w:lineRule="auto"/>
        <w:ind w:left="0"/>
        <w:jc w:val="left"/>
      </w:pPr>
      <w:r>
        <w:rPr>
          <w:rFonts w:eastAsia="等线" w:ascii="Arial" w:cs="Arial" w:hAnsi="Arial"/>
          <w:sz w:val="22"/>
        </w:rPr>
        <w:t>设置读出脉冲的时序（耗时：2小时）；尽管脉冲发生器同步输出AOM和DAQ触发脉冲，但由于AOM的响应时间有限和电缆长度差异，实际中两脉冲并不同步；用Notepad++打开[optimReadoutDelay.py](optimReadoutDelay.py)文件，该脚本用于扫描AOM脉冲与DAQ脉冲之间的读出延迟；编辑startDelay和endDelay变量设置延迟扫描范围（例如：设置startDelay=10</w:t>
      </w:r>
      <w:r>
        <w:rPr>
          <w:rFonts w:eastAsia="等线" w:ascii="Arial" w:cs="Arial" w:hAnsi="Arial"/>
          <w:i w:val="true"/>
          <w:sz w:val="22"/>
        </w:rPr>
        <w:t>ns（注意：startDelay需至少为5</w:t>
      </w:r>
      <w:r>
        <w:rPr>
          <w:rFonts w:eastAsia="等线" w:ascii="Arial" w:cs="Arial" w:hAnsi="Arial"/>
          <w:sz w:val="22"/>
        </w:rPr>
        <w:t>t_min，t_min为脉冲发生器的时间分辨率，500MHz时钟板的t_min=2ns）、endDelay=10000*ns，扫描点数N_scanPts=100）；运行命令“python [optimReadoutDelay.py](optimReadoutDelay.py)”；记录的数据会显示两脉冲的时间重叠情况（图15）：无重叠时光电压为零，重叠度增加时光电压升高。</w:t>
      </w:r>
    </w:p>
    <w:p>
      <w:pPr>
        <w:spacing w:before="120" w:after="120" w:line="288" w:lineRule="auto"/>
        <w:ind w:left="0"/>
        <w:jc w:val="left"/>
      </w:pPr>
      <w:r>
        <w:rPr>
          <w:rFonts w:eastAsia="等线" w:ascii="Arial" w:cs="Arial" w:hAnsi="Arial"/>
          <w:sz w:val="22"/>
        </w:rPr>
        <w:t>关键步骤：最佳读出时间位于光电压上升沿的中后期（例如：本方案中约2μs）；将该延迟时间作为t_readoutDelay变量的值，输入至后续所有实验的配置文件中（即[Rabiconfig.py](Rabiconfig.py)、[T2config.py](T2config.py)、[XY8config.py](XY8config.py)、[correlSpecconfig.py](correlSpecconfig.py)、[T1config.py](T1config.py)）；只要实验装置无物理变化（如AOM对准调整、电缆长度改变），该设置可保持固定。</w:t>
      </w:r>
    </w:p>
    <w:p>
      <w:pPr>
        <w:spacing w:before="120" w:after="120" w:line="288" w:lineRule="auto"/>
        <w:ind w:left="0"/>
        <w:jc w:val="left"/>
      </w:pPr>
      <w:r>
        <w:rPr>
          <w:rFonts w:eastAsia="等线" w:ascii="Arial" w:cs="Arial" w:hAnsi="Arial"/>
          <w:sz w:val="22"/>
        </w:rPr>
        <w:t>54–55 优化Rabi对比度（耗时：1天）</w:t>
      </w:r>
    </w:p>
    <w:p>
      <w:pPr>
        <w:numPr>
          <w:numId w:val="61"/>
        </w:numPr>
        <w:spacing w:before="120" w:after="120" w:line="288" w:lineRule="auto"/>
        <w:ind w:left="0"/>
        <w:jc w:val="left"/>
      </w:pPr>
      <w:r>
        <w:rPr>
          <w:rFonts w:eastAsia="等线" w:ascii="Arial" w:cs="Arial" w:hAnsi="Arial"/>
          <w:sz w:val="22"/>
        </w:rPr>
        <w:t>用Notepad++打开[Rabiconfig.py](Rabiconfig.py)文件；将microwaveFrequency变量设置为步骤52中确定的NV共振频率；将microwavePower设置为比放大器最大输入功率低约10dB；将t_readoutDelay设置为步骤53中确定的值；运行命令“python [mainControl.py](mainControl.py) Rabiconfig”；数据中应能观察到Rabi振荡（图6b、图16）；可通过调整微波功率改变振荡频率。</w:t>
      </w:r>
    </w:p>
    <w:p>
      <w:pPr>
        <w:spacing w:before="120" w:after="120" w:line="288" w:lineRule="auto"/>
        <w:ind w:left="0"/>
        <w:jc w:val="left"/>
      </w:pPr>
      <w:r>
        <w:rPr>
          <w:rFonts w:eastAsia="等线" w:ascii="Arial" w:cs="Arial" w:hAnsi="Arial"/>
          <w:sz w:val="22"/>
        </w:rPr>
        <w:t>关键步骤：后续实验中NMR信号的灵敏度与此处观测到的Rabi振荡对比度（振幅）呈线性相关；每次更换金刚石、调整金刚石取向或更换样品后，均需优化对比度。</w:t>
      </w:r>
    </w:p>
    <w:p>
      <w:pPr>
        <w:spacing w:before="120" w:after="120" w:line="288" w:lineRule="auto"/>
        <w:ind w:left="0"/>
        <w:jc w:val="left"/>
      </w:pPr>
      <w:r>
        <w:rPr>
          <w:rFonts w:eastAsia="等线" w:ascii="Arial" w:cs="Arial" w:hAnsi="Arial"/>
          <w:sz w:val="22"/>
        </w:rPr>
        <w:t>故障排除：若未观察到Rabi振荡，可参考表2的故障排除方案。</w:t>
      </w:r>
    </w:p>
    <w:p>
      <w:pPr>
        <w:numPr>
          <w:numId w:val="62"/>
        </w:numPr>
        <w:spacing w:before="120" w:after="120" w:line="288" w:lineRule="auto"/>
        <w:ind w:left="0"/>
        <w:jc w:val="left"/>
      </w:pPr>
      <w:r>
        <w:rPr>
          <w:rFonts w:eastAsia="等线" w:ascii="Arial" w:cs="Arial" w:hAnsi="Arial"/>
          <w:sz w:val="22"/>
        </w:rPr>
        <w:t>通过旋转λ/2波片调整激光偏振，确保NV中心的高效再极化，以优化对比度；AOM脉冲期间，NV中心需重置至mₛ=0态；若再极化效率低，对比度会下降；本方案中，激光光斑尺寸约(30μm)²、功率100–200mW、AOM脉冲持续时间5μs时，可实现高效再极化；可调整这三个参数以改善再极化效果；根据需要增加采样次数和平均次数，提高信噪比，以便清晰观测Rabi实验的信号和参考数据（图16）；若NV中心再极化高效，仅信号通道会出现Rabi振荡；若再极化效率低，参考通道也会出现振荡；优化NV再极化的最简单方法是通过移动聚焦透镜减小激光光斑尺寸；若信号通道的Rabi振荡信噪比不足，可通过调整激光光斑尺寸、功率和AOM脉冲持续时间优化对比度；需注意，激光强度过高会导致再极化速度快于DAQ的读出时间，反而降低对比度。</w:t>
      </w:r>
    </w:p>
    <w:p>
      <w:pPr>
        <w:spacing w:before="120" w:after="120" w:line="288" w:lineRule="auto"/>
        <w:ind w:left="0"/>
        <w:jc w:val="left"/>
      </w:pPr>
      <w:r>
        <w:rPr>
          <w:rFonts w:eastAsia="等线" w:ascii="Arial" w:cs="Arial" w:hAnsi="Arial"/>
          <w:sz w:val="22"/>
        </w:rPr>
        <w:t>故障排除：若优化后Rabi对比度仍不佳，可参考表2的故障排除方案。</w:t>
      </w:r>
    </w:p>
    <w:p>
      <w:pPr>
        <w:numPr>
          <w:numId w:val="63"/>
        </w:numPr>
        <w:spacing w:before="120" w:after="120" w:line="288" w:lineRule="auto"/>
        <w:ind w:left="0"/>
        <w:jc w:val="left"/>
      </w:pPr>
      <w:r>
        <w:rPr>
          <w:rFonts w:eastAsia="等线" w:ascii="Arial" w:cs="Arial" w:hAnsi="Arial"/>
          <w:sz w:val="22"/>
        </w:rPr>
        <w:t>运行Rabi实验：确定π脉冲和π/2脉冲的持续时间（耗时：1小时）；使用上述参数运行命令“python [mainControl.py](mainControl.py) Rabiconfig”。</w:t>
      </w:r>
    </w:p>
    <w:p>
      <w:pPr>
        <w:spacing w:before="120" w:after="120" w:line="288" w:lineRule="auto"/>
        <w:ind w:left="0"/>
        <w:jc w:val="left"/>
      </w:pPr>
      <w:r>
        <w:rPr>
          <w:rFonts w:eastAsia="等线" w:ascii="Arial" w:cs="Arial" w:hAnsi="Arial"/>
          <w:sz w:val="22"/>
        </w:rPr>
        <w:t>关键步骤：记录信号首次出现最小值时的微波脉冲持续时间，该时间即为π脉冲的持续时间（图6b）；可通过调整微波功率和/或激光光斑相对于微波环导线的位置，改变Rabi频率；本实验装置中，π脉冲的持续时间通常为20–60ns。</w:t>
      </w:r>
    </w:p>
    <w:p>
      <w:pPr>
        <w:spacing w:before="120" w:after="120" w:line="288" w:lineRule="auto"/>
        <w:ind w:left="0"/>
        <w:jc w:val="left"/>
      </w:pPr>
      <w:r>
        <w:rPr>
          <w:rFonts w:eastAsia="等线" w:ascii="Arial" w:cs="Arial" w:hAnsi="Arial"/>
          <w:sz w:val="22"/>
        </w:rPr>
        <w:t>故障排除：若无法确定π脉冲或π/2脉冲的持续时间，可参考表2的故障排除方案。</w:t>
      </w:r>
    </w:p>
    <w:p>
      <w:pPr>
        <w:numPr>
          <w:numId w:val="64"/>
        </w:numPr>
        <w:spacing w:before="120" w:after="120" w:line="288" w:lineRule="auto"/>
        <w:ind w:left="0"/>
        <w:jc w:val="left"/>
      </w:pPr>
      <w:r>
        <w:rPr>
          <w:rFonts w:eastAsia="等线" w:ascii="Arial" w:cs="Arial" w:hAnsi="Arial"/>
          <w:sz w:val="22"/>
        </w:rPr>
        <w:t>运行NV自旋回波（Hahn-echo）实验：确定NV-T₂弛豫时间（耗时：1小时）；用Notepad++打开[T2config.py](T2config.py)文件；将microwaveFrequency设置为NV共振频率；将microwavePower和t_pi分别设置为Rabi实验（步骤56）中确定的微波功率和π脉冲持续时间；设置扫描延迟的最小值startTau（需大于π脉冲持续时间，例如：t_pi=24</w:t>
      </w:r>
      <w:r>
        <w:rPr>
          <w:rFonts w:eastAsia="等线" w:ascii="Arial" w:cs="Arial" w:hAnsi="Arial"/>
          <w:i w:val="true"/>
          <w:sz w:val="22"/>
        </w:rPr>
        <w:t>ns时，设置startTau=100</w:t>
      </w:r>
      <w:r>
        <w:rPr>
          <w:rFonts w:eastAsia="等线" w:ascii="Arial" w:cs="Arial" w:hAnsi="Arial"/>
          <w:sz w:val="22"/>
        </w:rPr>
        <w:t>ns）；扫描延迟的最大值endTau=10*us（可根据NV-T₂弛豫时间调整）；将t_readoutDelay设置为步骤53中确定的值；启用SRS信号发生器的IQ功能；设置numberOfPiPulses=1，生成由两个π/2脉冲和一个中间π脉冲组成的自旋回波序列，其中τ定义为π/2脉冲与π脉冲之间的延迟（图6c）；若numberOfPiPulses&gt;1，qdSpectro会将τ解释为π脉冲之间的延迟（详见[T2config.py](T2config.py)用户输入注释）；运行命令“python [mainControl.py](mainControl.py) T2config”；采集的数据应呈现衰减趋势（图6c）；短延迟时间下的对比度应略低于Rabi实验对比度的一半；长延迟时间下，对比度需趋近于零；若未满足该条件，说明π/2脉冲或π脉冲的持续时间不正确，或IQ混频器工作异常。</w:t>
      </w:r>
    </w:p>
    <w:p>
      <w:pPr>
        <w:spacing w:before="120" w:after="120" w:line="288" w:lineRule="auto"/>
        <w:ind w:left="0"/>
        <w:jc w:val="left"/>
      </w:pPr>
      <w:r>
        <w:rPr>
          <w:rFonts w:eastAsia="等线" w:ascii="Arial" w:cs="Arial" w:hAnsi="Arial"/>
          <w:sz w:val="22"/>
        </w:rPr>
        <w:t>故障排除：若未观察到T₂弛豫衰减，可参考表2的故障排除方案。</w:t>
      </w:r>
    </w:p>
    <w:p>
      <w:pPr>
        <w:numPr>
          <w:numId w:val="65"/>
        </w:numPr>
        <w:spacing w:before="120" w:after="120" w:line="288" w:lineRule="auto"/>
        <w:ind w:left="0"/>
        <w:jc w:val="left"/>
      </w:pPr>
      <w:r>
        <w:rPr>
          <w:rFonts w:eastAsia="等线" w:ascii="Arial" w:cs="Arial" w:hAnsi="Arial"/>
          <w:sz w:val="22"/>
        </w:rPr>
        <w:t>运行NV-T₁实验：确定NV-T₁弛豫时间（耗时：2小时）；用Notepad++打开[T1config.py](T1config.py)文件；将microwaveFrequency设置为NV共振频率；将microwavePower和t_pi分别设置为Rabi实验（步骤56）中确定的微波功率和π脉冲持续时间；将t_readoutDelay设置为步骤53中确定的值；设置扫描范围为0–5ms，采样次数1000（即设置start_t=0</w:t>
      </w:r>
      <w:r>
        <w:rPr>
          <w:rFonts w:eastAsia="等线" w:ascii="Arial" w:cs="Arial" w:hAnsi="Arial"/>
          <w:i w:val="true"/>
          <w:sz w:val="22"/>
        </w:rPr>
        <w:t>ms、end_t=5</w:t>
      </w:r>
      <w:r>
        <w:rPr>
          <w:rFonts w:eastAsia="等线" w:ascii="Arial" w:cs="Arial" w:hAnsi="Arial"/>
          <w:sz w:val="22"/>
        </w:rPr>
        <w:t>ms、Nsamples=1000）；注意：若start_t设置为0或小于（t_readoutDelay + 2</w:t>
      </w:r>
      <w:r>
        <w:rPr>
          <w:rFonts w:eastAsia="等线" w:ascii="Arial" w:cs="Arial" w:hAnsi="Arial"/>
          <w:i w:val="true"/>
          <w:sz w:val="22"/>
        </w:rPr>
        <w:t>t_min</w:t>
      </w:r>
      <w:r>
        <w:rPr>
          <w:rFonts w:eastAsia="等线" w:ascii="Arial" w:cs="Arial" w:hAnsi="Arial"/>
          <w:sz w:val="22"/>
        </w:rPr>
        <w:t>round(1*us/t_min) + t_pi），qdSpectro会自动将其偏移至该值，以避免脉冲重叠错误（详见[T1config.py](T1config.py)用户输入注释）；NV-T₁实验可能耗时较长；运行命令“python [mainControl.py](mainControl.py) T1config”；采集的数据应呈现衰减趋势（图6f）。</w:t>
      </w:r>
    </w:p>
    <w:p>
      <w:pPr>
        <w:pStyle w:val="3"/>
        <w:spacing w:before="300" w:after="120" w:line="288" w:lineRule="auto"/>
        <w:ind w:left="0"/>
        <w:jc w:val="left"/>
        <w:outlineLvl w:val="2"/>
      </w:pPr>
      <w:bookmarkStart w:name="heading_12" w:id="12"/>
      <w:r>
        <w:rPr>
          <w:rFonts w:eastAsia="等线" w:ascii="Arial" w:cs="Arial" w:hAnsi="Arial"/>
          <w:b w:val="true"/>
          <w:sz w:val="30"/>
        </w:rPr>
        <w:t>四、核自旋与电子自旋的量子传感实验（步骤59A–C）</w:t>
      </w:r>
      <w:bookmarkEnd w:id="12"/>
    </w:p>
    <w:p>
      <w:pPr>
        <w:spacing w:before="120" w:after="120" w:line="288" w:lineRule="auto"/>
        <w:ind w:left="0"/>
        <w:jc w:val="left"/>
      </w:pPr>
      <w:r>
        <w:rPr>
          <w:rFonts w:eastAsia="等线" w:ascii="Arial" w:cs="Arial" w:hAnsi="Arial"/>
          <w:sz w:val="22"/>
        </w:rPr>
        <w:t>关键步骤：建议在进行NMR信号检测前，按方框5和图17所述，先传感外部交流信号，以验证实验装置的功能。</w:t>
      </w:r>
    </w:p>
    <w:p>
      <w:pPr>
        <w:numPr>
          <w:numId w:val="66"/>
        </w:numPr>
        <w:spacing w:before="120" w:after="120" w:line="288" w:lineRule="auto"/>
        <w:ind w:left="0"/>
        <w:jc w:val="left"/>
      </w:pPr>
      <w:r>
        <w:rPr>
          <w:rFonts w:eastAsia="等线" w:ascii="Arial" w:cs="Arial" w:hAnsi="Arial"/>
          <w:sz w:val="22"/>
        </w:rPr>
        <w:t>表面NMR信号检测可选择以下方案：方案A（XY8-N动态解耦序列）、方案B（关联光谱序列）；表面电子自旋检测选择方案C（NV-T₁实验）。</w:t>
      </w:r>
    </w:p>
    <w:p>
      <w:pPr>
        <w:pStyle w:val="4"/>
        <w:spacing w:before="260" w:after="120" w:line="288" w:lineRule="auto"/>
        <w:ind w:left="0"/>
        <w:jc w:val="left"/>
        <w:outlineLvl w:val="3"/>
      </w:pPr>
      <w:bookmarkStart w:name="heading_13" w:id="13"/>
      <w:r>
        <w:rPr>
          <w:rFonts w:eastAsia="等线" w:ascii="Arial" w:cs="Arial" w:hAnsi="Arial"/>
          <w:b w:val="true"/>
          <w:sz w:val="28"/>
        </w:rPr>
        <w:t>方案A：运行XY8-N动态解耦序列检测表面NMR信号（耗时：2小时）</w:t>
      </w:r>
      <w:bookmarkEnd w:id="13"/>
    </w:p>
    <w:p>
      <w:pPr>
        <w:spacing w:before="120" w:after="120" w:line="288" w:lineRule="auto"/>
        <w:ind w:left="0"/>
        <w:jc w:val="left"/>
      </w:pPr>
      <w:r>
        <w:rPr>
          <w:rFonts w:eastAsia="等线" w:ascii="Arial" w:cs="Arial" w:hAnsi="Arial"/>
          <w:sz w:val="22"/>
        </w:rPr>
        <w:t>（i）在金刚石表面的激光光斑处滴加一滴NMR样品；需注意样品的折射率可能改变全反射条件，进而导致Rabi对比度降低；首次操作时，建议用异丙醇清洗金刚石；即使是“洁净”的金刚石表面，通常也能检测到质子信号（可能源于表面的纳米级碳氢化合物薄膜）；初始实验的推荐样品：PDMS（用于¹H检测）或Fomblin油（用于¹⁹F检测）（图18）。</w:t>
      </w:r>
    </w:p>
    <w:p>
      <w:pPr>
        <w:spacing w:before="120" w:after="120" w:line="288" w:lineRule="auto"/>
        <w:ind w:left="0"/>
        <w:jc w:val="left"/>
      </w:pPr>
      <w:r>
        <w:rPr>
          <w:rFonts w:eastAsia="等线" w:ascii="Arial" w:cs="Arial" w:hAnsi="Arial"/>
          <w:sz w:val="22"/>
        </w:rPr>
        <w:t>（ii）通过步骤52的NV-ESR实验和公式（6）确定B₀磁场强度；根据公式（5），核自旋共振频率f_L = γₙ × B₀（γₙ为核自旋的旋磁比，单位：MHz/G）；计算τ₀=1/(2f_L)，作为XY8-N序列中π脉冲的间距；τ₀的合理范围为300–2000ns。</w:t>
      </w:r>
    </w:p>
    <w:p>
      <w:pPr>
        <w:spacing w:before="120" w:after="120" w:line="288" w:lineRule="auto"/>
        <w:ind w:left="0"/>
        <w:jc w:val="left"/>
      </w:pPr>
      <w:r>
        <w:rPr>
          <w:rFonts w:eastAsia="等线" w:ascii="Arial" w:cs="Arial" w:hAnsi="Arial"/>
          <w:sz w:val="22"/>
        </w:rPr>
        <w:t>（iii）重复步骤56的Rabi实验，确定π/2脉冲和π脉冲的持续时间；样品置于表面后，可能因样品的背景荧光或全反射条件改变，导致Rabi对比度降低；样品也可能影响微波传输。</w:t>
      </w:r>
    </w:p>
    <w:p>
      <w:pPr>
        <w:spacing w:before="120" w:after="120" w:line="288" w:lineRule="auto"/>
        <w:ind w:left="0"/>
        <w:jc w:val="left"/>
      </w:pPr>
      <w:r>
        <w:rPr>
          <w:rFonts w:eastAsia="等线" w:ascii="Arial" w:cs="Arial" w:hAnsi="Arial"/>
          <w:sz w:val="22"/>
        </w:rPr>
        <w:t>（iv）用Notepad++打开XY8config.py文件；根据上述步骤设置t_pi（π脉冲持续时间）、microwaveFrequency（微波频率）；围绕τ₀扫描τ，例如：扫描点数50，步长4ns（为脉冲发生器最小步长t_min的2倍）；注意：XY8序列中τ定义为连续π脉冲之间的延迟（图6d），是π/2脉冲与π脉冲之间延迟的2倍；500MHz脉冲发生器的时间分辨率为2ns，因此该序列中τ的步长至少为4ns；若使用其他型号脉冲发生器，步长需设置为2*t_min；根据金刚石特性，设置N&gt;8、采样次数10000、平均次数5–10（分别通过变量N、Nsamples、Navg设置）；将t_readoutDelay设置为步骤53中确定的值；通过比较相同实验总时长下的信噪比，优化N的取值。</w:t>
      </w:r>
    </w:p>
    <w:p>
      <w:pPr>
        <w:spacing w:before="120" w:after="120" w:line="288" w:lineRule="auto"/>
        <w:ind w:left="0"/>
        <w:jc w:val="left"/>
      </w:pPr>
      <w:r>
        <w:rPr>
          <w:rFonts w:eastAsia="等线" w:ascii="Arial" w:cs="Arial" w:hAnsi="Arial"/>
          <w:sz w:val="22"/>
        </w:rPr>
        <w:t>（v）运行命令“python [mainControl.py](mainControl.py) XY8config”；采集的数据应与图18类似。</w:t>
      </w:r>
    </w:p>
    <w:p>
      <w:pPr>
        <w:spacing w:before="120" w:after="120" w:line="288" w:lineRule="auto"/>
        <w:ind w:left="0"/>
        <w:jc w:val="left"/>
      </w:pPr>
      <w:r>
        <w:rPr>
          <w:rFonts w:eastAsia="等线" w:ascii="Arial" w:cs="Arial" w:hAnsi="Arial"/>
          <w:sz w:val="22"/>
        </w:rPr>
        <w:t>故障排除：若未观察到核自旋信号，可参考表2的故障排除方案。</w:t>
      </w:r>
    </w:p>
    <w:p>
      <w:pPr>
        <w:pStyle w:val="4"/>
        <w:spacing w:before="260" w:after="120" w:line="288" w:lineRule="auto"/>
        <w:ind w:left="0"/>
        <w:jc w:val="left"/>
        <w:outlineLvl w:val="3"/>
      </w:pPr>
      <w:bookmarkStart w:name="heading_14" w:id="14"/>
      <w:r>
        <w:rPr>
          <w:rFonts w:eastAsia="等线" w:ascii="Arial" w:cs="Arial" w:hAnsi="Arial"/>
          <w:b w:val="true"/>
          <w:sz w:val="28"/>
        </w:rPr>
        <w:t>方案B：运行关联光谱序列检测表面NMR信号（耗时：2小时）</w:t>
      </w:r>
      <w:bookmarkEnd w:id="14"/>
    </w:p>
    <w:p>
      <w:pPr>
        <w:spacing w:before="120" w:after="120" w:line="288" w:lineRule="auto"/>
        <w:ind w:left="0"/>
        <w:jc w:val="left"/>
      </w:pPr>
      <w:r>
        <w:rPr>
          <w:rFonts w:eastAsia="等线" w:ascii="Arial" w:cs="Arial" w:hAnsi="Arial"/>
          <w:sz w:val="22"/>
        </w:rPr>
        <w:t>（i）在金刚石表面的激光光斑处滴加一滴样品；需注意样品的折射率可能改变全反射条件，进而导致Rabi对比度降低；首次操作时，建议用异丙醇清洗金刚石；即使是“洁净”的金刚石表面，通常也能检测到质子信号（可能源于表面的纳米级碳氢化合物薄膜）；初始实验的推荐样品：PDMS（用于¹H检测）或Fomblin油（用于¹⁹F检测）（图19）。</w:t>
      </w:r>
    </w:p>
    <w:p>
      <w:pPr>
        <w:spacing w:before="120" w:after="120" w:line="288" w:lineRule="auto"/>
        <w:ind w:left="0"/>
        <w:jc w:val="left"/>
      </w:pPr>
      <w:r>
        <w:rPr>
          <w:rFonts w:eastAsia="等线" w:ascii="Arial" w:cs="Arial" w:hAnsi="Arial"/>
          <w:sz w:val="22"/>
        </w:rPr>
        <w:t>（ii）通过步骤52的NV-ESR实验和公式（6）确定B₀磁场强度；根据公式（5），核自旋共振频率f_L = γₙ × B₀（γₙ为核自旋的旋磁比，单位：MHz/G）；计算τ₀=1/(2f_L)，作为XY8-N序列中π脉冲的间距；τ₀的合理范围为300–2000ns。</w:t>
      </w:r>
    </w:p>
    <w:p>
      <w:pPr>
        <w:spacing w:before="120" w:after="120" w:line="288" w:lineRule="auto"/>
        <w:ind w:left="0"/>
        <w:jc w:val="left"/>
      </w:pPr>
      <w:r>
        <w:rPr>
          <w:rFonts w:eastAsia="等线" w:ascii="Arial" w:cs="Arial" w:hAnsi="Arial"/>
          <w:sz w:val="22"/>
        </w:rPr>
        <w:t>（iii）重复步骤56的Rabi实验，确定π/2脉冲和π脉冲的持续时间；样品置于表面后，可能因样品的背景荧光或全反射条件改变，导致Rabi对比度降低；样品也可能影响微波传输。</w:t>
      </w:r>
    </w:p>
    <w:p>
      <w:pPr>
        <w:spacing w:before="120" w:after="120" w:line="288" w:lineRule="auto"/>
        <w:ind w:left="0"/>
        <w:jc w:val="left"/>
      </w:pPr>
      <w:r>
        <w:rPr>
          <w:rFonts w:eastAsia="等线" w:ascii="Arial" w:cs="Arial" w:hAnsi="Arial"/>
          <w:sz w:val="22"/>
        </w:rPr>
        <w:t>（iv）用Notepad++打开correlSpecconfig.py文件；根据上述步骤设置t_pi（π脉冲持续时间）、tau0（XY8-N序列中π脉冲的间距）、microwaveFrequency（微波频率）；设置扫描延迟t_corr的采样间隔，确保每个1/f_L周期至少采集2个数据点；扫描总时长可根据测量需求调整：初始核自旋检测可设置较短时长（如5/f_L），记录核关联时间可设置较长时长（数十至数百微秒）；根据金刚石特性，初始设置N=1或2，通过比较相同实验总时长下的信噪比，优化N的取值；设置采样次数10000、平均次数2–4（分别通过变量Nsamples、Navg设置）；将t_readoutDelay设置为步骤53中确定的值。</w:t>
      </w:r>
    </w:p>
    <w:p>
      <w:pPr>
        <w:spacing w:before="120" w:after="120" w:line="288" w:lineRule="auto"/>
        <w:ind w:left="0"/>
        <w:jc w:val="left"/>
      </w:pPr>
      <w:r>
        <w:rPr>
          <w:rFonts w:eastAsia="等线" w:ascii="Arial" w:cs="Arial" w:hAnsi="Arial"/>
          <w:sz w:val="22"/>
        </w:rPr>
        <w:t>（v）运行命令“python [mainControl.py](mainControl.py) correlSpecconfig”；采集的数据应呈现f_L频率的振荡，与图19类似。</w:t>
      </w:r>
    </w:p>
    <w:p>
      <w:pPr>
        <w:spacing w:before="120" w:after="120" w:line="288" w:lineRule="auto"/>
        <w:ind w:left="0"/>
        <w:jc w:val="left"/>
      </w:pPr>
      <w:r>
        <w:rPr>
          <w:rFonts w:eastAsia="等线" w:ascii="Arial" w:cs="Arial" w:hAnsi="Arial"/>
          <w:sz w:val="22"/>
        </w:rPr>
        <w:t>故障排除：若未观察到核自旋信号，可参考表2的故障排除方案。</w:t>
      </w:r>
    </w:p>
    <w:p>
      <w:pPr>
        <w:pStyle w:val="4"/>
        <w:spacing w:before="260" w:after="120" w:line="288" w:lineRule="auto"/>
        <w:ind w:left="0"/>
        <w:jc w:val="left"/>
        <w:outlineLvl w:val="3"/>
      </w:pPr>
      <w:bookmarkStart w:name="heading_15" w:id="15"/>
      <w:r>
        <w:rPr>
          <w:rFonts w:eastAsia="等线" w:ascii="Arial" w:cs="Arial" w:hAnsi="Arial"/>
          <w:b w:val="true"/>
          <w:sz w:val="28"/>
        </w:rPr>
        <w:t>方案C：运行NV-T₁实验检测表面电子自旋（耗时：4小时）</w:t>
      </w:r>
      <w:bookmarkEnd w:id="15"/>
    </w:p>
    <w:p>
      <w:pPr>
        <w:spacing w:before="120" w:after="120" w:line="288" w:lineRule="auto"/>
        <w:ind w:left="0"/>
        <w:jc w:val="left"/>
      </w:pPr>
      <w:r>
        <w:rPr>
          <w:rFonts w:eastAsia="等线" w:ascii="Arial" w:cs="Arial" w:hAnsi="Arial"/>
          <w:sz w:val="22"/>
        </w:rPr>
        <w:t>（i）首先按步骤58确定洁净金刚石的NV-T₁弛豫时间（通常为几毫秒）。</w:t>
      </w:r>
    </w:p>
    <w:p>
      <w:pPr>
        <w:spacing w:before="120" w:after="120" w:line="288" w:lineRule="auto"/>
        <w:ind w:left="0"/>
        <w:jc w:val="left"/>
      </w:pPr>
      <w:r>
        <w:rPr>
          <w:rFonts w:eastAsia="等线" w:ascii="Arial" w:cs="Arial" w:hAnsi="Arial"/>
          <w:sz w:val="22"/>
        </w:rPr>
        <w:t>（ii）在金刚石表面的激光光斑处滴加一滴样品；需注意样品的折射率可能改变全反射条件，进而导致灵敏度降低；首次操作时，推荐使用1M的Cu²⁺、Gd³⁺或Mn²⁺溶液。</w:t>
      </w:r>
    </w:p>
    <w:p>
      <w:pPr>
        <w:spacing w:before="120" w:after="120" w:line="288" w:lineRule="auto"/>
        <w:ind w:left="0"/>
        <w:jc w:val="left"/>
      </w:pPr>
      <w:r>
        <w:rPr>
          <w:rFonts w:eastAsia="等线" w:ascii="Arial" w:cs="Arial" w:hAnsi="Arial"/>
          <w:sz w:val="22"/>
        </w:rPr>
        <w:t>（iii）重复步骤56的Rabi实验，确定π脉冲的持续时间；样品置于表面后，可能因样品的背景荧光或全反射条件改变，导致Rabi对比度降低；样品也可能影响微波传输。</w:t>
      </w:r>
    </w:p>
    <w:p>
      <w:pPr>
        <w:spacing w:before="120" w:after="120" w:line="288" w:lineRule="auto"/>
        <w:ind w:left="0"/>
        <w:jc w:val="left"/>
      </w:pPr>
      <w:r>
        <w:rPr>
          <w:rFonts w:eastAsia="等线" w:ascii="Arial" w:cs="Arial" w:hAnsi="Arial"/>
          <w:sz w:val="22"/>
        </w:rPr>
        <w:t>（iv）运行命令“python [mainControl.py](mainControl.py) T1config”；采集的数据应显示NV-T₁弛豫时间缩短（图20）。</w:t>
      </w:r>
    </w:p>
    <w:p>
      <w:pPr>
        <w:spacing w:before="120" w:after="120" w:line="288" w:lineRule="auto"/>
        <w:ind w:left="0"/>
        <w:jc w:val="left"/>
      </w:pPr>
      <w:r>
        <w:rPr>
          <w:rFonts w:eastAsia="等线" w:ascii="Arial" w:cs="Arial" w:hAnsi="Arial"/>
          <w:sz w:val="22"/>
        </w:rPr>
        <w:t>当前文件内容过长，豆包只阅读了前 75%。</w:t>
      </w:r>
    </w:p>
    <w:p>
      <w:pPr>
        <w:spacing w:before="120" w:after="120" w:line="288" w:lineRule="auto"/>
        <w:ind w:left="0"/>
        <w:jc w:val="left"/>
      </w:pPr>
      <w:r>
        <w:rPr>
          <w:rFonts w:eastAsia="等线" w:ascii="Arial" w:cs="Arial" w:hAnsi="Arial"/>
          <w:sz w:val="22"/>
        </w:rPr>
        <w:t>|（注：文档部分内容可能由 AI 生成)</w:t>
      </w:r>
    </w:p>
    <w:sectPr>
      <w:footerReference w:type="default" r:id="rId3"/>
      <w:headerReference w:type="default" r:id="rId13"/>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7379945">
    <w:lvl>
      <w:start w:val="1"/>
      <w:numFmt w:val="decimal"/>
      <w:suff w:val="tab"/>
      <w:lvlText w:val="%1."/>
      <w:rPr>
        <w:color w:val="3370ff"/>
      </w:rPr>
    </w:lvl>
  </w:abstractNum>
  <w:abstractNum w:abstractNumId="7379946">
    <w:lvl>
      <w:start w:val="2"/>
      <w:numFmt w:val="decimal"/>
      <w:suff w:val="tab"/>
      <w:lvlText w:val="%1."/>
      <w:rPr>
        <w:color w:val="3370ff"/>
      </w:rPr>
    </w:lvl>
  </w:abstractNum>
  <w:abstractNum w:abstractNumId="7379947">
    <w:lvl>
      <w:start w:val="3"/>
      <w:numFmt w:val="decimal"/>
      <w:suff w:val="tab"/>
      <w:lvlText w:val="%1."/>
      <w:rPr>
        <w:color w:val="3370ff"/>
      </w:rPr>
    </w:lvl>
  </w:abstractNum>
  <w:abstractNum w:abstractNumId="7379948">
    <w:lvl>
      <w:start w:val="4"/>
      <w:numFmt w:val="decimal"/>
      <w:suff w:val="tab"/>
      <w:lvlText w:val="%1."/>
      <w:rPr>
        <w:color w:val="3370ff"/>
      </w:rPr>
    </w:lvl>
  </w:abstractNum>
  <w:abstractNum w:abstractNumId="7379949">
    <w:lvl>
      <w:start w:val="5"/>
      <w:numFmt w:val="decimal"/>
      <w:suff w:val="tab"/>
      <w:lvlText w:val="%1."/>
      <w:rPr>
        <w:color w:val="3370ff"/>
      </w:rPr>
    </w:lvl>
  </w:abstractNum>
  <w:abstractNum w:abstractNumId="7379950">
    <w:lvl>
      <w:start w:val="6"/>
      <w:numFmt w:val="decimal"/>
      <w:suff w:val="tab"/>
      <w:lvlText w:val="%1."/>
      <w:rPr>
        <w:color w:val="3370ff"/>
      </w:rPr>
    </w:lvl>
  </w:abstractNum>
  <w:abstractNum w:abstractNumId="7379951">
    <w:lvl>
      <w:start w:val="7"/>
      <w:numFmt w:val="decimal"/>
      <w:suff w:val="tab"/>
      <w:lvlText w:val="%1."/>
      <w:rPr>
        <w:color w:val="3370ff"/>
      </w:rPr>
    </w:lvl>
  </w:abstractNum>
  <w:abstractNum w:abstractNumId="7379952">
    <w:lvl>
      <w:start w:val="8"/>
      <w:numFmt w:val="decimal"/>
      <w:suff w:val="tab"/>
      <w:lvlText w:val="%1."/>
      <w:rPr>
        <w:color w:val="3370ff"/>
      </w:rPr>
    </w:lvl>
  </w:abstractNum>
  <w:abstractNum w:abstractNumId="7379953">
    <w:lvl>
      <w:start w:val="9"/>
      <w:numFmt w:val="decimal"/>
      <w:suff w:val="tab"/>
      <w:lvlText w:val="%1."/>
      <w:rPr>
        <w:color w:val="3370ff"/>
      </w:rPr>
    </w:lvl>
  </w:abstractNum>
  <w:abstractNum w:abstractNumId="7379954">
    <w:lvl>
      <w:start w:val="10"/>
      <w:numFmt w:val="decimal"/>
      <w:suff w:val="tab"/>
      <w:lvlText w:val="%1."/>
      <w:rPr>
        <w:color w:val="3370ff"/>
      </w:rPr>
    </w:lvl>
  </w:abstractNum>
  <w:abstractNum w:abstractNumId="7379955">
    <w:lvl>
      <w:start w:val="11"/>
      <w:numFmt w:val="decimal"/>
      <w:suff w:val="tab"/>
      <w:lvlText w:val="%1."/>
      <w:rPr>
        <w:color w:val="3370ff"/>
      </w:rPr>
    </w:lvl>
  </w:abstractNum>
  <w:abstractNum w:abstractNumId="7379956">
    <w:lvl>
      <w:start w:val="12"/>
      <w:numFmt w:val="decimal"/>
      <w:suff w:val="tab"/>
      <w:lvlText w:val="%1."/>
      <w:rPr>
        <w:color w:val="3370ff"/>
      </w:rPr>
    </w:lvl>
  </w:abstractNum>
  <w:abstractNum w:abstractNumId="7379957">
    <w:lvl>
      <w:start w:val="13"/>
      <w:numFmt w:val="decimal"/>
      <w:suff w:val="tab"/>
      <w:lvlText w:val="%1."/>
      <w:rPr>
        <w:color w:val="3370ff"/>
      </w:rPr>
    </w:lvl>
  </w:abstractNum>
  <w:abstractNum w:abstractNumId="7379958">
    <w:lvl>
      <w:start w:val="14"/>
      <w:numFmt w:val="decimal"/>
      <w:suff w:val="tab"/>
      <w:lvlText w:val="%1."/>
      <w:rPr>
        <w:color w:val="3370ff"/>
      </w:rPr>
    </w:lvl>
  </w:abstractNum>
  <w:abstractNum w:abstractNumId="7379959">
    <w:lvl>
      <w:start w:val="15"/>
      <w:numFmt w:val="decimal"/>
      <w:suff w:val="tab"/>
      <w:lvlText w:val="%1."/>
      <w:rPr>
        <w:color w:val="3370ff"/>
      </w:rPr>
    </w:lvl>
  </w:abstractNum>
  <w:abstractNum w:abstractNumId="7379960">
    <w:lvl>
      <w:start w:val="16"/>
      <w:numFmt w:val="decimal"/>
      <w:suff w:val="tab"/>
      <w:lvlText w:val="%1."/>
      <w:rPr>
        <w:color w:val="3370ff"/>
      </w:rPr>
    </w:lvl>
  </w:abstractNum>
  <w:abstractNum w:abstractNumId="7379961">
    <w:lvl>
      <w:start w:val="17"/>
      <w:numFmt w:val="decimal"/>
      <w:suff w:val="tab"/>
      <w:lvlText w:val="%1."/>
      <w:rPr>
        <w:color w:val="3370ff"/>
      </w:rPr>
    </w:lvl>
  </w:abstractNum>
  <w:abstractNum w:abstractNumId="7379962">
    <w:lvl>
      <w:start w:val="18"/>
      <w:numFmt w:val="decimal"/>
      <w:suff w:val="tab"/>
      <w:lvlText w:val="%1."/>
      <w:rPr>
        <w:color w:val="3370ff"/>
      </w:rPr>
    </w:lvl>
  </w:abstractNum>
  <w:abstractNum w:abstractNumId="7379963">
    <w:lvl>
      <w:start w:val="19"/>
      <w:numFmt w:val="decimal"/>
      <w:suff w:val="tab"/>
      <w:lvlText w:val="%1."/>
      <w:rPr>
        <w:color w:val="3370ff"/>
      </w:rPr>
    </w:lvl>
  </w:abstractNum>
  <w:abstractNum w:abstractNumId="7379964">
    <w:lvl>
      <w:start w:val="20"/>
      <w:numFmt w:val="decimal"/>
      <w:suff w:val="tab"/>
      <w:lvlText w:val="%1."/>
      <w:rPr>
        <w:color w:val="3370ff"/>
      </w:rPr>
    </w:lvl>
  </w:abstractNum>
  <w:abstractNum w:abstractNumId="7379965">
    <w:lvl>
      <w:numFmt w:val="bullet"/>
      <w:suff w:val="tab"/>
      <w:lvlText w:val="￮"/>
      <w:rPr>
        <w:color w:val="3370ff"/>
      </w:rPr>
    </w:lvl>
  </w:abstractNum>
  <w:abstractNum w:abstractNumId="7379966">
    <w:lvl>
      <w:numFmt w:val="bullet"/>
      <w:suff w:val="tab"/>
      <w:lvlText w:val="￮"/>
      <w:rPr>
        <w:color w:val="3370ff"/>
      </w:rPr>
    </w:lvl>
  </w:abstractNum>
  <w:abstractNum w:abstractNumId="7379967">
    <w:lvl>
      <w:start w:val="21"/>
      <w:numFmt w:val="decimal"/>
      <w:suff w:val="tab"/>
      <w:lvlText w:val="%1."/>
      <w:rPr>
        <w:color w:val="3370ff"/>
      </w:rPr>
    </w:lvl>
  </w:abstractNum>
  <w:abstractNum w:abstractNumId="7379968">
    <w:lvl>
      <w:start w:val="22"/>
      <w:numFmt w:val="decimal"/>
      <w:suff w:val="tab"/>
      <w:lvlText w:val="%1."/>
      <w:rPr>
        <w:color w:val="3370ff"/>
      </w:rPr>
    </w:lvl>
  </w:abstractNum>
  <w:abstractNum w:abstractNumId="7379969">
    <w:lvl>
      <w:start w:val="23"/>
      <w:numFmt w:val="decimal"/>
      <w:suff w:val="tab"/>
      <w:lvlText w:val="%1."/>
      <w:rPr>
        <w:color w:val="3370ff"/>
      </w:rPr>
    </w:lvl>
  </w:abstractNum>
  <w:abstractNum w:abstractNumId="7379970">
    <w:lvl>
      <w:start w:val="24"/>
      <w:numFmt w:val="decimal"/>
      <w:suff w:val="tab"/>
      <w:lvlText w:val="%1."/>
      <w:rPr>
        <w:color w:val="3370ff"/>
      </w:rPr>
    </w:lvl>
  </w:abstractNum>
  <w:abstractNum w:abstractNumId="7379971">
    <w:lvl>
      <w:start w:val="25"/>
      <w:numFmt w:val="decimal"/>
      <w:suff w:val="tab"/>
      <w:lvlText w:val="%1."/>
      <w:rPr>
        <w:color w:val="3370ff"/>
      </w:rPr>
    </w:lvl>
  </w:abstractNum>
  <w:abstractNum w:abstractNumId="7379972">
    <w:lvl>
      <w:start w:val="26"/>
      <w:numFmt w:val="decimal"/>
      <w:suff w:val="tab"/>
      <w:lvlText w:val="%1."/>
      <w:rPr>
        <w:color w:val="3370ff"/>
      </w:rPr>
    </w:lvl>
  </w:abstractNum>
  <w:abstractNum w:abstractNumId="7379973">
    <w:lvl>
      <w:start w:val="27"/>
      <w:numFmt w:val="decimal"/>
      <w:suff w:val="tab"/>
      <w:lvlText w:val="%1."/>
      <w:rPr>
        <w:color w:val="3370ff"/>
      </w:rPr>
    </w:lvl>
  </w:abstractNum>
  <w:abstractNum w:abstractNumId="7379974">
    <w:lvl>
      <w:start w:val="28"/>
      <w:numFmt w:val="decimal"/>
      <w:suff w:val="tab"/>
      <w:lvlText w:val="%1."/>
      <w:rPr>
        <w:color w:val="3370ff"/>
      </w:rPr>
    </w:lvl>
  </w:abstractNum>
  <w:abstractNum w:abstractNumId="7379975">
    <w:lvl>
      <w:start w:val="29"/>
      <w:numFmt w:val="decimal"/>
      <w:suff w:val="tab"/>
      <w:lvlText w:val="%1."/>
      <w:rPr>
        <w:color w:val="3370ff"/>
      </w:rPr>
    </w:lvl>
  </w:abstractNum>
  <w:abstractNum w:abstractNumId="7379976">
    <w:lvl>
      <w:start w:val="30"/>
      <w:numFmt w:val="decimal"/>
      <w:suff w:val="tab"/>
      <w:lvlText w:val="%1."/>
      <w:rPr>
        <w:color w:val="3370ff"/>
      </w:rPr>
    </w:lvl>
  </w:abstractNum>
  <w:abstractNum w:abstractNumId="7379977">
    <w:lvl>
      <w:start w:val="31"/>
      <w:numFmt w:val="decimal"/>
      <w:suff w:val="tab"/>
      <w:lvlText w:val="%1."/>
      <w:rPr>
        <w:color w:val="3370ff"/>
      </w:rPr>
    </w:lvl>
  </w:abstractNum>
  <w:abstractNum w:abstractNumId="7379978">
    <w:lvl>
      <w:numFmt w:val="bullet"/>
      <w:suff w:val="tab"/>
      <w:lvlText w:val="￮"/>
      <w:rPr>
        <w:color w:val="3370ff"/>
      </w:rPr>
    </w:lvl>
  </w:abstractNum>
  <w:abstractNum w:abstractNumId="7379979">
    <w:lvl>
      <w:numFmt w:val="bullet"/>
      <w:suff w:val="tab"/>
      <w:lvlText w:val="￮"/>
      <w:rPr>
        <w:color w:val="3370ff"/>
      </w:rPr>
    </w:lvl>
  </w:abstractNum>
  <w:abstractNum w:abstractNumId="7379980">
    <w:lvl>
      <w:numFmt w:val="bullet"/>
      <w:suff w:val="tab"/>
      <w:lvlText w:val="￮"/>
      <w:rPr>
        <w:color w:val="3370ff"/>
      </w:rPr>
    </w:lvl>
  </w:abstractNum>
  <w:abstractNum w:abstractNumId="7379981">
    <w:lvl>
      <w:numFmt w:val="bullet"/>
      <w:suff w:val="tab"/>
      <w:lvlText w:val="￮"/>
      <w:rPr>
        <w:color w:val="3370ff"/>
      </w:rPr>
    </w:lvl>
  </w:abstractNum>
  <w:abstractNum w:abstractNumId="7379982">
    <w:lvl>
      <w:numFmt w:val="bullet"/>
      <w:suff w:val="tab"/>
      <w:lvlText w:val="￮"/>
      <w:rPr>
        <w:color w:val="3370ff"/>
      </w:rPr>
    </w:lvl>
  </w:abstractNum>
  <w:abstractNum w:abstractNumId="7379983">
    <w:lvl>
      <w:numFmt w:val="bullet"/>
      <w:suff w:val="tab"/>
      <w:lvlText w:val="￮"/>
      <w:rPr>
        <w:color w:val="3370ff"/>
      </w:rPr>
    </w:lvl>
  </w:abstractNum>
  <w:abstractNum w:abstractNumId="7379984">
    <w:lvl>
      <w:numFmt w:val="bullet"/>
      <w:suff w:val="tab"/>
      <w:lvlText w:val="￮"/>
      <w:rPr>
        <w:color w:val="3370ff"/>
      </w:rPr>
    </w:lvl>
  </w:abstractNum>
  <w:abstractNum w:abstractNumId="7379985">
    <w:lvl>
      <w:start w:val="33"/>
      <w:numFmt w:val="decimal"/>
      <w:suff w:val="tab"/>
      <w:lvlText w:val="%1."/>
      <w:rPr>
        <w:color w:val="3370ff"/>
      </w:rPr>
    </w:lvl>
  </w:abstractNum>
  <w:abstractNum w:abstractNumId="7379986">
    <w:lvl>
      <w:start w:val="34"/>
      <w:numFmt w:val="decimal"/>
      <w:suff w:val="tab"/>
      <w:lvlText w:val="%1."/>
      <w:rPr>
        <w:color w:val="3370ff"/>
      </w:rPr>
    </w:lvl>
  </w:abstractNum>
  <w:abstractNum w:abstractNumId="7379987">
    <w:lvl>
      <w:start w:val="35"/>
      <w:numFmt w:val="decimal"/>
      <w:suff w:val="tab"/>
      <w:lvlText w:val="%1."/>
      <w:rPr>
        <w:color w:val="3370ff"/>
      </w:rPr>
    </w:lvl>
  </w:abstractNum>
  <w:abstractNum w:abstractNumId="7379988">
    <w:lvl>
      <w:start w:val="36"/>
      <w:numFmt w:val="decimal"/>
      <w:suff w:val="tab"/>
      <w:lvlText w:val="%1."/>
      <w:rPr>
        <w:color w:val="3370ff"/>
      </w:rPr>
    </w:lvl>
  </w:abstractNum>
  <w:abstractNum w:abstractNumId="7379989">
    <w:lvl>
      <w:start w:val="37"/>
      <w:numFmt w:val="decimal"/>
      <w:suff w:val="tab"/>
      <w:lvlText w:val="%1."/>
      <w:rPr>
        <w:color w:val="3370ff"/>
      </w:rPr>
    </w:lvl>
  </w:abstractNum>
  <w:abstractNum w:abstractNumId="7379990">
    <w:lvl>
      <w:start w:val="38"/>
      <w:numFmt w:val="decimal"/>
      <w:suff w:val="tab"/>
      <w:lvlText w:val="%1."/>
      <w:rPr>
        <w:color w:val="3370ff"/>
      </w:rPr>
    </w:lvl>
  </w:abstractNum>
  <w:abstractNum w:abstractNumId="7379991">
    <w:lvl>
      <w:start w:val="39"/>
      <w:numFmt w:val="decimal"/>
      <w:suff w:val="tab"/>
      <w:lvlText w:val="%1."/>
      <w:rPr>
        <w:color w:val="3370ff"/>
      </w:rPr>
    </w:lvl>
  </w:abstractNum>
  <w:abstractNum w:abstractNumId="7379992">
    <w:lvl>
      <w:start w:val="40"/>
      <w:numFmt w:val="decimal"/>
      <w:suff w:val="tab"/>
      <w:lvlText w:val="%1."/>
      <w:rPr>
        <w:color w:val="3370ff"/>
      </w:rPr>
    </w:lvl>
  </w:abstractNum>
  <w:abstractNum w:abstractNumId="7379993">
    <w:lvl>
      <w:start w:val="41"/>
      <w:numFmt w:val="decimal"/>
      <w:suff w:val="tab"/>
      <w:lvlText w:val="%1."/>
      <w:rPr>
        <w:color w:val="3370ff"/>
      </w:rPr>
    </w:lvl>
  </w:abstractNum>
  <w:abstractNum w:abstractNumId="7379994">
    <w:lvl>
      <w:start w:val="42"/>
      <w:numFmt w:val="decimal"/>
      <w:suff w:val="tab"/>
      <w:lvlText w:val="%1."/>
      <w:rPr>
        <w:color w:val="3370ff"/>
      </w:rPr>
    </w:lvl>
  </w:abstractNum>
  <w:abstractNum w:abstractNumId="7379995">
    <w:lvl>
      <w:start w:val="43"/>
      <w:numFmt w:val="decimal"/>
      <w:suff w:val="tab"/>
      <w:lvlText w:val="%1."/>
      <w:rPr>
        <w:color w:val="3370ff"/>
      </w:rPr>
    </w:lvl>
  </w:abstractNum>
  <w:abstractNum w:abstractNumId="7379996">
    <w:lvl>
      <w:start w:val="44"/>
      <w:numFmt w:val="decimal"/>
      <w:suff w:val="tab"/>
      <w:lvlText w:val="%1."/>
      <w:rPr>
        <w:color w:val="3370ff"/>
      </w:rPr>
    </w:lvl>
  </w:abstractNum>
  <w:abstractNum w:abstractNumId="7379997">
    <w:lvl>
      <w:start w:val="45"/>
      <w:numFmt w:val="decimal"/>
      <w:suff w:val="tab"/>
      <w:lvlText w:val="%1."/>
      <w:rPr>
        <w:color w:val="3370ff"/>
      </w:rPr>
    </w:lvl>
  </w:abstractNum>
  <w:abstractNum w:abstractNumId="7379998">
    <w:lvl>
      <w:start w:val="47"/>
      <w:numFmt w:val="decimal"/>
      <w:suff w:val="tab"/>
      <w:lvlText w:val="%1."/>
      <w:rPr>
        <w:color w:val="3370ff"/>
      </w:rPr>
    </w:lvl>
  </w:abstractNum>
  <w:abstractNum w:abstractNumId="7379999">
    <w:lvl>
      <w:start w:val="48"/>
      <w:numFmt w:val="decimal"/>
      <w:suff w:val="tab"/>
      <w:lvlText w:val="%1."/>
      <w:rPr>
        <w:color w:val="3370ff"/>
      </w:rPr>
    </w:lvl>
  </w:abstractNum>
  <w:abstractNum w:abstractNumId="7380000">
    <w:lvl>
      <w:start w:val="49"/>
      <w:numFmt w:val="decimal"/>
      <w:suff w:val="tab"/>
      <w:lvlText w:val="%1."/>
      <w:rPr>
        <w:color w:val="3370ff"/>
      </w:rPr>
    </w:lvl>
  </w:abstractNum>
  <w:abstractNum w:abstractNumId="7380001">
    <w:lvl>
      <w:start w:val="50"/>
      <w:numFmt w:val="decimal"/>
      <w:suff w:val="tab"/>
      <w:lvlText w:val="%1."/>
      <w:rPr>
        <w:color w:val="3370ff"/>
      </w:rPr>
    </w:lvl>
  </w:abstractNum>
  <w:abstractNum w:abstractNumId="7380002">
    <w:lvl>
      <w:start w:val="51"/>
      <w:numFmt w:val="decimal"/>
      <w:suff w:val="tab"/>
      <w:lvlText w:val="%1."/>
      <w:rPr>
        <w:color w:val="3370ff"/>
      </w:rPr>
    </w:lvl>
  </w:abstractNum>
  <w:abstractNum w:abstractNumId="7380003">
    <w:lvl>
      <w:start w:val="52"/>
      <w:numFmt w:val="decimal"/>
      <w:suff w:val="tab"/>
      <w:lvlText w:val="%1."/>
      <w:rPr>
        <w:color w:val="3370ff"/>
      </w:rPr>
    </w:lvl>
  </w:abstractNum>
  <w:abstractNum w:abstractNumId="7380004">
    <w:lvl>
      <w:start w:val="53"/>
      <w:numFmt w:val="decimal"/>
      <w:suff w:val="tab"/>
      <w:lvlText w:val="%1."/>
      <w:rPr>
        <w:color w:val="3370ff"/>
      </w:rPr>
    </w:lvl>
  </w:abstractNum>
  <w:abstractNum w:abstractNumId="7380005">
    <w:lvl>
      <w:start w:val="54"/>
      <w:numFmt w:val="decimal"/>
      <w:suff w:val="tab"/>
      <w:lvlText w:val="%1."/>
      <w:rPr>
        <w:color w:val="3370ff"/>
      </w:rPr>
    </w:lvl>
  </w:abstractNum>
  <w:abstractNum w:abstractNumId="7380006">
    <w:lvl>
      <w:start w:val="55"/>
      <w:numFmt w:val="decimal"/>
      <w:suff w:val="tab"/>
      <w:lvlText w:val="%1."/>
      <w:rPr>
        <w:color w:val="3370ff"/>
      </w:rPr>
    </w:lvl>
  </w:abstractNum>
  <w:abstractNum w:abstractNumId="7380007">
    <w:lvl>
      <w:start w:val="56"/>
      <w:numFmt w:val="decimal"/>
      <w:suff w:val="tab"/>
      <w:lvlText w:val="%1."/>
      <w:rPr>
        <w:color w:val="3370ff"/>
      </w:rPr>
    </w:lvl>
  </w:abstractNum>
  <w:abstractNum w:abstractNumId="7380008">
    <w:lvl>
      <w:start w:val="57"/>
      <w:numFmt w:val="decimal"/>
      <w:suff w:val="tab"/>
      <w:lvlText w:val="%1."/>
      <w:rPr>
        <w:color w:val="3370ff"/>
      </w:rPr>
    </w:lvl>
  </w:abstractNum>
  <w:abstractNum w:abstractNumId="7380009">
    <w:lvl>
      <w:start w:val="58"/>
      <w:numFmt w:val="decimal"/>
      <w:suff w:val="tab"/>
      <w:lvlText w:val="%1."/>
      <w:rPr>
        <w:color w:val="3370ff"/>
      </w:rPr>
    </w:lvl>
  </w:abstractNum>
  <w:abstractNum w:abstractNumId="7380010">
    <w:lvl>
      <w:start w:val="59"/>
      <w:numFmt w:val="decimal"/>
      <w:suff w:val="tab"/>
      <w:lvlText w:val="%1."/>
      <w:rPr>
        <w:color w:val="3370ff"/>
      </w:rPr>
    </w:lvl>
  </w:abstractNum>
  <w:num w:numId="1">
    <w:abstractNumId w:val="7379945"/>
  </w:num>
  <w:num w:numId="2">
    <w:abstractNumId w:val="7379946"/>
  </w:num>
  <w:num w:numId="3">
    <w:abstractNumId w:val="7379947"/>
  </w:num>
  <w:num w:numId="4">
    <w:abstractNumId w:val="7379948"/>
  </w:num>
  <w:num w:numId="5">
    <w:abstractNumId w:val="7379949"/>
  </w:num>
  <w:num w:numId="6">
    <w:abstractNumId w:val="7379950"/>
  </w:num>
  <w:num w:numId="7">
    <w:abstractNumId w:val="7379951"/>
  </w:num>
  <w:num w:numId="8">
    <w:abstractNumId w:val="7379952"/>
  </w:num>
  <w:num w:numId="9">
    <w:abstractNumId w:val="7379953"/>
  </w:num>
  <w:num w:numId="10">
    <w:abstractNumId w:val="7379954"/>
  </w:num>
  <w:num w:numId="11">
    <w:abstractNumId w:val="7379955"/>
  </w:num>
  <w:num w:numId="12">
    <w:abstractNumId w:val="7379956"/>
  </w:num>
  <w:num w:numId="13">
    <w:abstractNumId w:val="7379957"/>
  </w:num>
  <w:num w:numId="14">
    <w:abstractNumId w:val="7379958"/>
  </w:num>
  <w:num w:numId="15">
    <w:abstractNumId w:val="7379959"/>
  </w:num>
  <w:num w:numId="16">
    <w:abstractNumId w:val="7379960"/>
  </w:num>
  <w:num w:numId="17">
    <w:abstractNumId w:val="7379961"/>
  </w:num>
  <w:num w:numId="18">
    <w:abstractNumId w:val="7379962"/>
  </w:num>
  <w:num w:numId="19">
    <w:abstractNumId w:val="7379963"/>
  </w:num>
  <w:num w:numId="20">
    <w:abstractNumId w:val="7379964"/>
  </w:num>
  <w:num w:numId="21">
    <w:abstractNumId w:val="7379965"/>
  </w:num>
  <w:num w:numId="22">
    <w:abstractNumId w:val="7379966"/>
  </w:num>
  <w:num w:numId="23">
    <w:abstractNumId w:val="7379967"/>
  </w:num>
  <w:num w:numId="24">
    <w:abstractNumId w:val="7379968"/>
  </w:num>
  <w:num w:numId="25">
    <w:abstractNumId w:val="7379969"/>
  </w:num>
  <w:num w:numId="26">
    <w:abstractNumId w:val="7379970"/>
  </w:num>
  <w:num w:numId="27">
    <w:abstractNumId w:val="7379971"/>
  </w:num>
  <w:num w:numId="28">
    <w:abstractNumId w:val="7379972"/>
  </w:num>
  <w:num w:numId="29">
    <w:abstractNumId w:val="7379973"/>
  </w:num>
  <w:num w:numId="30">
    <w:abstractNumId w:val="7379974"/>
  </w:num>
  <w:num w:numId="31">
    <w:abstractNumId w:val="7379975"/>
  </w:num>
  <w:num w:numId="32">
    <w:abstractNumId w:val="7379976"/>
  </w:num>
  <w:num w:numId="33">
    <w:abstractNumId w:val="7379977"/>
  </w:num>
  <w:num w:numId="34">
    <w:abstractNumId w:val="7379978"/>
  </w:num>
  <w:num w:numId="35">
    <w:abstractNumId w:val="7379979"/>
  </w:num>
  <w:num w:numId="36">
    <w:abstractNumId w:val="7379980"/>
  </w:num>
  <w:num w:numId="37">
    <w:abstractNumId w:val="7379981"/>
  </w:num>
  <w:num w:numId="38">
    <w:abstractNumId w:val="7379982"/>
  </w:num>
  <w:num w:numId="39">
    <w:abstractNumId w:val="7379983"/>
  </w:num>
  <w:num w:numId="40">
    <w:abstractNumId w:val="7379984"/>
  </w:num>
  <w:num w:numId="41">
    <w:abstractNumId w:val="7379985"/>
  </w:num>
  <w:num w:numId="42">
    <w:abstractNumId w:val="7379986"/>
  </w:num>
  <w:num w:numId="43">
    <w:abstractNumId w:val="7379987"/>
  </w:num>
  <w:num w:numId="44">
    <w:abstractNumId w:val="7379988"/>
  </w:num>
  <w:num w:numId="45">
    <w:abstractNumId w:val="7379989"/>
  </w:num>
  <w:num w:numId="46">
    <w:abstractNumId w:val="7379990"/>
  </w:num>
  <w:num w:numId="47">
    <w:abstractNumId w:val="7379991"/>
  </w:num>
  <w:num w:numId="48">
    <w:abstractNumId w:val="7379992"/>
  </w:num>
  <w:num w:numId="49">
    <w:abstractNumId w:val="7379993"/>
  </w:num>
  <w:num w:numId="50">
    <w:abstractNumId w:val="7379994"/>
  </w:num>
  <w:num w:numId="51">
    <w:abstractNumId w:val="7379995"/>
  </w:num>
  <w:num w:numId="52">
    <w:abstractNumId w:val="7379996"/>
  </w:num>
  <w:num w:numId="53">
    <w:abstractNumId w:val="7379997"/>
  </w:num>
  <w:num w:numId="54">
    <w:abstractNumId w:val="7379998"/>
  </w:num>
  <w:num w:numId="55">
    <w:abstractNumId w:val="7379999"/>
  </w:num>
  <w:num w:numId="56">
    <w:abstractNumId w:val="7380000"/>
  </w:num>
  <w:num w:numId="57">
    <w:abstractNumId w:val="7380001"/>
  </w:num>
  <w:num w:numId="58">
    <w:abstractNumId w:val="7380002"/>
  </w:num>
  <w:num w:numId="59">
    <w:abstractNumId w:val="7380003"/>
  </w:num>
  <w:num w:numId="60">
    <w:abstractNumId w:val="7380004"/>
  </w:num>
  <w:num w:numId="61">
    <w:abstractNumId w:val="7380005"/>
  </w:num>
  <w:num w:numId="62">
    <w:abstractNumId w:val="7380006"/>
  </w:num>
  <w:num w:numId="63">
    <w:abstractNumId w:val="7380007"/>
  </w:num>
  <w:num w:numId="64">
    <w:abstractNumId w:val="7380008"/>
  </w:num>
  <w:num w:numId="65">
    <w:abstractNumId w:val="7380009"/>
  </w:num>
  <w:num w:numId="66">
    <w:abstractNumId w:val="738001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web.archive.org/web/20190208140542/" TargetMode="External" Type="http://schemas.openxmlformats.org/officeDocument/2006/relationships/hyperlink"/><Relationship Id="rId11" Target="http://www.spincore.com/support/SpinAPI_Python_Wrapper/spinapi.py" TargetMode="External" Type="http://schemas.openxmlformats.org/officeDocument/2006/relationships/hyperlink"/><Relationship Id="rId12" Target="https://www.ni.com/pdf/manuals/371931f.pdf" TargetMode="External" Type="http://schemas.openxmlformats.org/officeDocument/2006/relationships/hyperlink"/><Relationship Id="rId13"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ttp://www.laserage.com/heat-treating" TargetMode="External" Type="http://schemas.openxmlformats.org/officeDocument/2006/relationships/hyperlink"/><Relationship Id="rId6" Target="https://www.python.org/" TargetMode="External" Type="http://schemas.openxmlformats.org/officeDocument/2006/relationships/hyperlink"/><Relationship Id="rId7" Target="https://notepad-plus-plus.org/" TargetMode="External" Type="http://schemas.openxmlformats.org/officeDocument/2006/relationships/hyperlink"/><Relationship Id="rId8" Target="https://gitlab.com/dplaudecraik/qdSpectro" TargetMode="External" Type="http://schemas.openxmlformats.org/officeDocument/2006/relationships/hyperlink"/><Relationship Id="rId9" Target="http://www.spincore.com/support/SpinAPI_Python_Wrapper/Python_Wrapper_Main.shtml"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2026-03-17T13:28:18Z</dcterms:created>
  <dc:creator>Apache POI</dc:creator>
</cp:coreProperties>
</file>