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线性回归（最小二乘法）</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n=1085</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0.881</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0.099</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8.906</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0.925</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0.925</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F=6700.979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115.583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1.005</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1.005</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因变量：销售单价(元/千克)</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F检验的结果分析可以得到，显著性P值为0.000***，水平上呈现显著性，拒绝回归系数为0的原假设，因此模型基本满足要求。</w:t>
      </w:r>
      <w:r>
        <w:rPr>
          <w:b w:val="false"/>
          <w:bCs w:val="false"/>
          <w:color w:val="000000"/>
          <w:sz w:val="18"/>
          <w:szCs w:val="18"/>
        </w:rPr>
        <w:br/>
        <w:t xml:space="preserve">对于变量共线性表现，VIF全部小于10，因此模型没有多重共线性问题，模型构建良好。</w:t>
      </w:r>
      <w:r>
        <w:rPr>
          <w:b w:val="false"/>
          <w:bCs w:val="false"/>
          <w:color w:val="000000"/>
          <w:sz w:val="18"/>
          <w:szCs w:val="18"/>
        </w:rPr>
        <w:br/>
        <w:t xml:space="preserve">模型的公式如下：y=0.881 + 1.445*批发价格(元/千克) - 0.001*销量(千克)_异常值处理 。</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3844636"/>
            <wp:effectExtent b="0" l="0" r="0" t="0"/>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844636"/>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0.8805569336252764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1.445231391281009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-0.0007061341370772882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0.8805569336252764</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vkjmtw-exo5asr6xtcj6l.png"/><Relationship Id="rId7" Type="http://schemas.openxmlformats.org/officeDocument/2006/relationships/image" Target="media/sflmshom9pnv0rpdmglpl.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2023-09-09T16:20:40.519Z</dcterms:created>
  <dcterms:modified xsi:type="dcterms:W3CDTF">2023-09-09T16:20:40.519Z</dcterms:modified>
</cp:coreProperties>
</file>

<file path=docProps/custom.xml><?xml version="1.0" encoding="utf-8"?>
<Properties xmlns="http://schemas.openxmlformats.org/officeDocument/2006/custom-properties" xmlns:vt="http://schemas.openxmlformats.org/officeDocument/2006/docPropsVTypes"/>
</file>