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0.056*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基于变量销量(千克)_异常值处理 ，显著性P值为0.056*，水平上不呈现显著性，不能拒绝原假设，该序列为非平稳的时间序列。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基于变量销售单价(元/千克)，显著性P值为0.015**，水平上呈现显著性，拒绝原假设，该序列为平稳的时间序列。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-11454.867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298600.115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-10949.641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121880.845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-10909.551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11.672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117249.474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-10875.798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11.697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114114.994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-10836.843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11.608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109995.142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-10795.82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11.651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105611.675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-10709.229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11.442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11.542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93182.757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-10655.662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11.683*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11.494*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87391.33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-10632.439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86700.774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-10610.732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11.365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86257.074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-10589.015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11.36*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11.523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85813.652*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-10574.359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11.841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86501.838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由FPE、AIC、SC、HQ四项评价指标的结果，滞后阶数建议选为7阶，即建立VAR(7)模型。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-1.371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-0.308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-1.195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14.602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1.306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-1.455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1.179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-1.946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8.954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7.384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2.727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1.766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6.093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2.165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3.269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4.391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加成率=0.033*加成率(-1)+0.045*加成率(-2)+0.032*加成率(-3)+0.009*加成率(-4)+0.01*加成率(-5)+0.044*加成率(-6)+0.044*加成率(-7)+0.001*销量(千克)_异常值处理(-1)+0.007*销量(千克)_异常值处理(-2)-0.005*销量(千克)_异常值处理(-3)+0.001*销量(千克)_异常值处理(-4)-0.001*销量(千克)_异常值处理(-5)+0.001*销量(千克)_异常值处理(-6)-0.001*销量(千克)_异常值处理(-7)-0.01*销售单价(元/千克)(-1)+0.008*销售单价(元/千克)(-2)+0.008*销售单价(元/千克)(-3)-0.011*销售单价(元/千克)(-4)+0.004*销售单价(元/千克)(-5)-0.007*销售单价(元/千克)(-6)-0.009*销售单价(元/千克)(-7)+0.545</w:t>
      </w:r>
      <w:r>
        <w:rPr>
          <w:b w:val="false"/>
          <w:bCs w:val="false"/>
          <w:color w:val="000000"/>
          <w:sz w:val="18"/>
          <w:szCs w:val="18"/>
        </w:rPr>
        <w:br/>
        <w:t xml:space="preserve">销量(千克)_异常值处理=-0.382*加成率(-1)+0.669*加成率(-2)+0.405*加成率(-3)+0.749*加成率(-4)+0.963*加成率(-5)+0.961*加成率(-6)+0.176*加成率(-7)+0.433*销量(千克)_异常值处理(-1)-0.001*销量(千克)_异常值处理(-2)+0.009*销量(千克)_异常值处理(-3)+0.028*销量(千克)_异常值处理(-4)+0.02*销量(千克)_异常值处理(-5)+0.154*销量(千克)_异常值处理(-6)+0.266*销量(千克)_异常值处理(-7)-0.105*销售单价(元/千克)(-1)-0.086*销售单价(元/千克)(-2)+0.224*销售单价(元/千克)(-3)+0.063*销售单价(元/千克)(-4)-0.015*销售单价(元/千克)(-5)-0.003*销售单价(元/千克)(-6)-0.054*销售单价(元/千克)(-7)+4.725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0.034*加成率(-1)+0.023*加成率(-2)-0.172*加成率(-3)-0.067*加成率(-4)-0.038*加成率(-5)-0.163*加成率(-6)-0.15*加成率(-7)+0.01*销量(千克)_异常值处理(-1)-0.012*销量(千克)_异常值处理(-2)+0.01*销量(千克)_异常值处理(-3)-0.017*销量(千克)_异常值处理(-4)+0.006*销量(千克)_异常值处理(-5)+0.001*销量(千克)_异常值处理(-6)-0.001*销量(千克)_异常值处理(-7)+0.227*销售单价(元/千克)(-1)+0.074*销售单价(元/千克)(-2)+0.048*销售单价(元/千克)(-3)+0.084*销售单价(元/千克)(-4)+0.055*销售单价(元/千克)(-5)+0.189*销售单价(元/千克)(-6)+0.066*销售单价(元/千克)(-7)+3.269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98.254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98.053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cb8waa16zrzf4mnsqykz.png"/><Relationship Id="rId7" Type="http://schemas.openxmlformats.org/officeDocument/2006/relationships/image" Target="media/regwkeg_xarcmr3_uy2o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2023-09-09T16:01:58.903Z</dcterms:created>
  <dcterms:modified xsi:type="dcterms:W3CDTF">2023-09-09T16:01:58.903Z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