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3"/>
        <w:widowControl/>
      </w:pPr>
      <w:r>
        <w:t xml:space="preserve">分析流程</w:t>
      </w:r>
      <w:r>
        <w:rPr>
          <w:b w:val="false"/>
          <w:bCs w:val="false"/>
          <w:color w:val="000000"/>
          <w:sz w:val="18"/>
          <w:szCs w:val="18"/>
        </w:rPr>
        <w:br/>
        <w:br/>
        <w:t xml:space="preserve">数据源：</w:t>
      </w:r>
      <w:r>
        <w:rPr>
          <w:b w:val="false"/>
          <w:bCs w:val="false"/>
          <w:color w:val="000000"/>
          <w:sz w:val="18"/>
          <w:szCs w:val="18"/>
        </w:rPr>
        <w:br/>
        <w:t xml:space="preserve">Q2.xlsx</w:t>
      </w:r>
      <w:r>
        <w:rPr>
          <w:b w:val="false"/>
          <w:bCs w:val="false"/>
          <w:color w:val="000000"/>
          <w:sz w:val="18"/>
          <w:szCs w:val="18"/>
        </w:rPr>
        <w:br/>
        <w:br/>
        <w:t xml:space="preserve">算法配置：</w:t>
      </w:r>
      <w:r>
        <w:rPr>
          <w:b w:val="false"/>
          <w:bCs w:val="false"/>
          <w:color w:val="000000"/>
          <w:sz w:val="18"/>
          <w:szCs w:val="18"/>
        </w:rPr>
        <w:br/>
        <w:t xml:space="preserve">算法：
格兰杰因果关系</w:t>
      </w:r>
      <w:r>
        <w:rPr>
          <w:b w:val="false"/>
          <w:bCs w:val="false"/>
          <w:color w:val="000000"/>
          <w:sz w:val="18"/>
          <w:szCs w:val="18"/>
        </w:rPr>
        <w:br/>
        <w:br/>
        <w:t xml:space="preserve">分析结果：</w:t>
      </w:r>
      <w:r>
        <w:rPr>
          <w:b w:val="false"/>
          <w:bCs w:val="false"/>
          <w:color w:val="000000"/>
          <w:sz w:val="18"/>
          <w:szCs w:val="18"/>
        </w:rPr>
        <w:br/>
        <w:t xml:space="preserve">暂无数据 </w:t>
      </w:r>
    </w:p>
    <w:p>
      <w:pPr>
        <w:pStyle w:val="Heading3"/>
        <w:widowControl/>
        <w:jc w:val="left"/>
      </w:pPr>
      <w:r>
        <w:t xml:space="preserve">分析步骤</w:t>
      </w:r>
      <w:r>
        <w:rPr>
          <w:b w:val="false"/>
          <w:bCs w:val="false"/>
          <w:color w:val="000000"/>
          <w:sz w:val="18"/>
          <w:szCs w:val="18"/>
        </w:rPr>
        <w:br/>
        <w:br/>
        <w:t xml:space="preserve">1.
格兰杰检验要求是平稳的时间序列数据，否则可能会出现虚假回归问题，因此需要通过ADF检验检测时间序列的平稳性。若两两时间序列是非平稳序列且满足同阶单整，需要对两两序列间进行协整检验后，在序列间存在协整关系后方可进行格兰杰因果关系检验。  </w:t>
      </w:r>
      <w:r>
        <w:rPr>
          <w:b w:val="false"/>
          <w:bCs w:val="false"/>
          <w:color w:val="000000"/>
          <w:sz w:val="18"/>
          <w:szCs w:val="18"/>
        </w:rPr>
        <w:br/>
        <w:t xml:space="preserve">2.
选择滞后阶数。需要注意的是，格兰杰因果关系检验对于滞后期长度的选择有时很敏感，不同的滞后期可能会得到完全不同的检验结果。在实践中，一般是通过VAR模型来确定最优的滞后阶数。</w:t>
      </w:r>
      <w:r>
        <w:rPr>
          <w:b w:val="false"/>
          <w:bCs w:val="false"/>
          <w:color w:val="000000"/>
          <w:sz w:val="18"/>
          <w:szCs w:val="18"/>
        </w:rPr>
        <w:br/>
        <w:t xml:space="preserve">3.
通过格兰杰因果关系检验结果得到两两变量间的因果关系是单向的还是双向的。</w:t>
      </w:r>
    </w:p>
    <w:p>
      <w:pPr>
        <w:pStyle w:val="Heading3"/>
        <w:widowControl/>
      </w:pPr>
      <w:r>
        <w:t xml:space="preserve">详细结论</w:t>
      </w:r>
    </w:p>
    <w:p>
      <w:pPr>
        <w:widowControl/>
        <w:spacing w:after="100" w:before="0"/>
        <w:ind w:left="720" w:right="720"/>
        <w:jc w:val="left"/>
      </w:pPr>
      <w:r>
        <w:rPr>
          <w:b/>
          <w:bCs/>
          <w:color w:val="000000"/>
          <w:sz w:val="20"/>
          <w:szCs w:val="20"/>
        </w:rPr>
        <w:br/>
        <w:t xml:space="preserve">输出结果1：ADF检验</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变量</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t</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c>
          <w:tcPr>
            <w:gridSpan w:val="3"/>
            <w:tcBorders>
              <w:top w:val="single" w:color="000000" w:sz="10"/>
              <w:left w:val="none"/>
              <w:bottom w:val="none" w:color="000000" w:sz="10"/>
              <w:right w:val="none"/>
            </w:tcBorders>
            <w:vAlign w:val="center"/>
          </w:tcPr>
          <w:p>
            <w:pPr>
              <w:pBdr>
                <w:left w:val="none"/>
                <w:right w:val="none"/>
              </w:pBdr>
              <w:jc w:val="center"/>
            </w:pPr>
            <w:r>
              <w:rPr>
                <w:sz w:val="18"/>
                <w:szCs w:val="18"/>
              </w:rPr>
              <w:t xml:space="preserve">临界值</w:t>
            </w:r>
          </w:p>
        </w:tc>
      </w:tr>
      <w:tr>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10%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-5.169</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-2.567</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批发价格(元/千克)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-6.094</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-3.431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-2.862</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-2.567</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-6.581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0.000***</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-3.431</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-2.862</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-2.567</w:t>
            </w:r>
          </w:p>
        </w:tc>
      </w:tr>
      <w:tr>
        <w:tc>
          <w:tcPr>
            <w:gridSpan w:val="6"/>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上表格为ADF检验的结果，包括变量、T检验结果、AIC值等，用于检验时间序列是否平稳。</w:t>
      </w:r>
      <w:r>
        <w:rPr>
          <w:b w:val="false"/>
          <w:bCs w:val="false"/>
          <w:color w:val="000000"/>
          <w:sz w:val="18"/>
          <w:szCs w:val="18"/>
        </w:rPr>
        <w:br/>
        <w:t xml:space="preserve">● 若 P&lt;0.05，则说明序列是平稳序列。</w:t>
      </w:r>
      <w:r>
        <w:rPr>
          <w:b w:val="false"/>
          <w:bCs w:val="false"/>
          <w:color w:val="000000"/>
          <w:sz w:val="18"/>
          <w:szCs w:val="18"/>
        </w:rPr>
        <w:br/>
        <w:t xml:space="preserve">● 若 P&gt;0.05，则说明序列是非平稳序列。</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基于变量销量(千克)，显著性P值为0.000***，呈现显著性，拒绝原假设，该序列为平稳的时间序列。</w:t>
      </w:r>
      <w:r>
        <w:rPr>
          <w:b w:val="false"/>
          <w:bCs w:val="false"/>
          <w:color w:val="000000"/>
          <w:sz w:val="18"/>
          <w:szCs w:val="18"/>
        </w:rPr>
        <w:br/>
        <w:t xml:space="preserve">基于变量批发价格(元/千克)，显著性P值为0.000***，呈现显著性，拒绝原假设，该序列为平稳的时间序列。</w:t>
      </w:r>
      <w:r>
        <w:rPr>
          <w:b w:val="false"/>
          <w:bCs w:val="false"/>
          <w:color w:val="000000"/>
          <w:sz w:val="18"/>
          <w:szCs w:val="18"/>
        </w:rPr>
        <w:br/>
        <w:t xml:space="preserve">基于变量销售单价(元/千克)，显著性P值为0.000***，呈现显著性，拒绝原假设，该序列为平稳的时间序列。</w:t>
      </w:r>
      <w:r>
        <w:rPr>
          <w:b w:val="false"/>
          <w:bCs w:val="false"/>
          <w:color w:val="000000"/>
          <w:sz w:val="18"/>
          <w:szCs w:val="18"/>
        </w:rPr>
        <w:br/>
      </w:r>
    </w:p>
    <w:p>
      <w:pPr>
        <w:widowControl/>
        <w:spacing w:after="100" w:before="0"/>
        <w:ind w:left="720" w:right="720"/>
        <w:jc w:val="left"/>
      </w:pPr>
      <w:r>
        <w:rPr>
          <w:b/>
          <w:bCs/>
          <w:color w:val="000000"/>
          <w:sz w:val="20"/>
          <w:szCs w:val="20"/>
        </w:rPr>
        <w:br/>
        <w:t xml:space="preserve">输出结果2：格兰杰因果关系检验结果表</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tblGrid>
      <w:tr>
        <w:tc>
          <w:tcPr>
            <w:gridSpan w:val="2"/>
            <w:tcBorders>
              <w:top w:val="single" w:color="000000" w:sz="10"/>
              <w:left w:val="none"/>
              <w:bottom w:val="single" w:color="000000" w:sz="10"/>
              <w:right w:val="none"/>
            </w:tcBorders>
            <w:vAlign w:val="center"/>
          </w:tcPr>
          <w:p>
            <w:pPr>
              <w:pBdr>
                <w:left w:val="none"/>
                <w:right w:val="none"/>
              </w:pBdr>
              <w:jc w:val="center"/>
            </w:pPr>
            <w:r>
              <w:rPr>
                <w:sz w:val="18"/>
                <w:szCs w:val="18"/>
              </w:rPr>
              <w:t xml:space="preserve">配对样本</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F</w:t>
            </w:r>
          </w:p>
        </w:tc>
        <w:tc>
          <w:tcPr>
            <w:gridSpan w:val="1"/>
            <w:tcBorders>
              <w:top w:val="single" w:color="000000" w:sz="10"/>
              <w:left w:val="none"/>
              <w:bottom w:val="single" w:color="000000" w:sz="10"/>
              <w:right w:val="none"/>
            </w:tcBorders>
            <w:vAlign w:val="center"/>
          </w:tcPr>
          <w:p>
            <w:pPr>
              <w:pBdr>
                <w:left w:val="none"/>
                <w:right w:val="none"/>
              </w:pBdr>
              <w:jc w:val="center"/>
            </w:pPr>
            <w:r>
              <w:rPr>
                <w:sz w:val="18"/>
                <w:szCs w:val="18"/>
              </w:rPr>
              <w:t xml:space="preserve">P</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批发价格(元/千克)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13.721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批发价格(元/千克)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29.867</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14.638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销量(千克)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31.911</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0.000***</w:t>
            </w:r>
          </w:p>
        </w:tc>
      </w:tr>
      <w:tr>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批发价格(元/千克)</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1.288</w:t>
            </w:r>
          </w:p>
        </w:tc>
        <w:tc>
          <w:tcPr>
            <w:gridSpan w:val="1"/>
            <w:tcBorders>
              <w:top w:val="none" w:color="000000" w:sz="10"/>
              <w:left w:val="none"/>
              <w:bottom w:val="none" w:color="000000" w:sz="10"/>
              <w:right w:val="none"/>
            </w:tcBorders>
            <w:vAlign w:val="center"/>
          </w:tcPr>
          <w:p>
            <w:pPr>
              <w:pBdr>
                <w:left w:val="none"/>
                <w:right w:val="none"/>
              </w:pBdr>
              <w:jc w:val="center"/>
            </w:pPr>
            <w:r>
              <w:rPr>
                <w:sz w:val="18"/>
                <w:szCs w:val="18"/>
              </w:rPr>
              <w:t xml:space="preserve">0.224</w:t>
            </w:r>
          </w:p>
        </w:tc>
      </w:tr>
      <w:tr>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批发价格(元/千克)</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销售单价(元/千克)</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2.095</w:t>
            </w:r>
          </w:p>
        </w:tc>
        <w:tc>
          <w:tcPr>
            <w:gridSpan w:val="1"/>
            <w:tcBorders>
              <w:top w:val="none" w:color="000000" w:sz="10"/>
              <w:left w:val="none"/>
              <w:bottom w:val="single" w:color="000000" w:sz="10"/>
              <w:right w:val="none"/>
            </w:tcBorders>
            <w:vAlign w:val="center"/>
          </w:tcPr>
          <w:p>
            <w:pPr>
              <w:pBdr>
                <w:left w:val="none"/>
                <w:right w:val="none"/>
              </w:pBdr>
              <w:jc w:val="center"/>
            </w:pPr>
            <w:r>
              <w:rPr>
                <w:sz w:val="18"/>
                <w:szCs w:val="18"/>
              </w:rPr>
              <w:t xml:space="preserve">0.018**</w:t>
            </w:r>
          </w:p>
        </w:tc>
      </w:tr>
      <w:tr>
        <w:tc>
          <w:tcPr>
            <w:gridSpan w:val="4"/>
            <w:tcBorders>
              <w:top w:val="none" w:color="000000" w:sz="10"/>
              <w:left w:val="none"/>
              <w:bottom w:val="none" w:color="000000" w:sz="10"/>
              <w:right w:val="none"/>
            </w:tcBorders>
            <w:vAlign w:val="center"/>
          </w:tcPr>
          <w:p>
            <w:pPr>
              <w:pBdr>
                <w:left w:val="none"/>
                <w:right w:val="none"/>
              </w:pBdr>
              <w:jc w:val="left"/>
            </w:pPr>
            <w:r>
              <w:rPr>
                <w:sz w:val="18"/>
                <w:szCs w:val="18"/>
              </w:rPr>
              <w:t xml:space="preserve">注：***、**、*分别代表1%、5%、10%的显著性水平</w:t>
            </w:r>
          </w:p>
        </w:tc>
      </w:tr>
    </w:tbl>
    <w:p>
      <w:pPr>
        <w:widowControl/>
        <w:spacing w:after="100" w:before="0"/>
        <w:ind w:left="720" w:right="720"/>
        <w:jc w:val="left"/>
      </w:pPr>
      <w:r>
        <w:rPr>
          <w:b/>
          <w:bCs/>
          <w:color w:val="000000"/>
          <w:sz w:val="20"/>
          <w:szCs w:val="20"/>
        </w:rPr>
        <w:br/>
        <w:t xml:space="preserve">图表说明：</w:t>
      </w:r>
    </w:p>
    <w:p>
      <w:pPr>
        <w:widowControl/>
        <w:spacing w:after="100" w:before="0"/>
        <w:ind w:left="720" w:right="720"/>
        <w:jc w:val="left"/>
      </w:pPr>
      <w:r>
        <w:rPr>
          <w:b w:val="false"/>
          <w:bCs w:val="false"/>
          <w:color w:val="000000"/>
          <w:sz w:val="18"/>
          <w:szCs w:val="18"/>
        </w:rPr>
        <w:t xml:space="preserve">上表格展示了格兰杰因果检验的结果，包括配对样本、样本量、F统计量、显著P值。</w:t>
      </w:r>
      <w:r>
        <w:rPr>
          <w:b w:val="false"/>
          <w:bCs w:val="false"/>
          <w:color w:val="000000"/>
          <w:sz w:val="18"/>
          <w:szCs w:val="18"/>
        </w:rPr>
        <w:br/>
        <w:t xml:space="preserve">● 分析F统计量的显著性，若呈显著性(P&lt;0.05)，表明拒绝原假设（一组时间序列不是另一组时间序列的原因），即左侧变量可以引起右侧变量变化，具有格兰杰因果关系，反之则不存在格兰杰因果关系。</w:t>
      </w:r>
      <w:r>
        <w:rPr>
          <w:b w:val="false"/>
          <w:bCs w:val="false"/>
          <w:color w:val="000000"/>
          <w:sz w:val="18"/>
          <w:szCs w:val="18"/>
        </w:rPr>
        <w:br/>
      </w:r>
    </w:p>
    <w:p>
      <w:pPr>
        <w:widowControl/>
        <w:spacing w:after="100" w:before="0"/>
        <w:ind w:left="720" w:right="720"/>
        <w:jc w:val="left"/>
      </w:pPr>
      <w:r>
        <w:rPr>
          <w:b/>
          <w:bCs/>
          <w:color w:val="000000"/>
          <w:sz w:val="20"/>
          <w:szCs w:val="20"/>
        </w:rPr>
        <w:br/>
        <w:t xml:space="preserve">智能分析：</w:t>
      </w:r>
    </w:p>
    <w:p>
      <w:pPr>
        <w:widowControl/>
        <w:spacing w:after="100" w:before="0"/>
        <w:ind w:left="720" w:right="720"/>
        <w:jc w:val="left"/>
      </w:pPr>
      <w:r>
        <w:rPr>
          <w:b w:val="false"/>
          <w:bCs w:val="false"/>
          <w:color w:val="000000"/>
          <w:sz w:val="18"/>
          <w:szCs w:val="18"/>
        </w:rPr>
        <w:t xml:space="preserve">基于变量批发价格(元/千克)与销量(千克)，显著性P值为0.000***，呈现显著性，拒绝原假设，批发价格(元/千克)可以引起销量(千克)变化。</w:t>
      </w:r>
      <w:r>
        <w:rPr>
          <w:b w:val="false"/>
          <w:bCs w:val="false"/>
          <w:color w:val="000000"/>
          <w:sz w:val="18"/>
          <w:szCs w:val="18"/>
        </w:rPr>
        <w:br/>
        <w:t xml:space="preserve">基于变量销量(千克)与批发价格(元/千克)，显著性P值为0.000***，呈现显著性，拒绝原假设，销量(千克)可以引起批发价格(元/千克)变化。</w:t>
      </w:r>
      <w:r>
        <w:rPr>
          <w:b w:val="false"/>
          <w:bCs w:val="false"/>
          <w:color w:val="000000"/>
          <w:sz w:val="18"/>
          <w:szCs w:val="18"/>
        </w:rPr>
        <w:br/>
        <w:t xml:space="preserve">基于变量销售单价(元/千克)与销量(千克)，显著性P值为0.000***，呈现显著性，拒绝原假设，销售单价(元/千克)可以引起销量(千克)变化。</w:t>
      </w:r>
      <w:r>
        <w:rPr>
          <w:b w:val="false"/>
          <w:bCs w:val="false"/>
          <w:color w:val="000000"/>
          <w:sz w:val="18"/>
          <w:szCs w:val="18"/>
        </w:rPr>
        <w:br/>
        <w:t xml:space="preserve">基于变量销量(千克)与销售单价(元/千克)，显著性P值为0.000***，呈现显著性，拒绝原假设，销量(千克)可以引起销售单价(元/千克)变化。</w:t>
      </w:r>
      <w:r>
        <w:rPr>
          <w:b w:val="false"/>
          <w:bCs w:val="false"/>
          <w:color w:val="000000"/>
          <w:sz w:val="18"/>
          <w:szCs w:val="18"/>
        </w:rPr>
        <w:br/>
        <w:t xml:space="preserve">基于变量销售单价(元/千克)与批发价格(元/千克)，显著性P值为0.224，不呈现显著性，不能拒绝原假设，销售单价(元/千克)不可以引起批发价格(元/千克)变化。</w:t>
      </w:r>
      <w:r>
        <w:rPr>
          <w:b w:val="false"/>
          <w:bCs w:val="false"/>
          <w:color w:val="000000"/>
          <w:sz w:val="18"/>
          <w:szCs w:val="18"/>
        </w:rPr>
        <w:br/>
        <w:t xml:space="preserve">基于变量批发价格(元/千克)与销售单价(元/千克)，显著性P值为0.018**，呈现显著性，拒绝原假设，批发价格(元/千克)可以引起销售单价(元/千克)变化。</w:t>
      </w:r>
      <w:r>
        <w:rPr>
          <w:b w:val="false"/>
          <w:bCs w:val="false"/>
          <w:color w:val="000000"/>
          <w:sz w:val="18"/>
          <w:szCs w:val="18"/>
        </w:rPr>
        <w:br/>
      </w:r>
    </w:p>
    <w:p>
      <w:pPr>
        <w:pStyle w:val="Heading3"/>
        <w:widowControl/>
      </w:pPr>
      <w:r>
        <w:t xml:space="preserve">参考文献</w:t>
      </w:r>
      <w:r>
        <w:rPr>
          <w:b w:val="false"/>
          <w:bCs w:val="false"/>
          <w:color w:val="000000"/>
          <w:sz w:val="18"/>
          <w:szCs w:val="18"/>
        </w:rPr>
        <w:br/>
        <w:t xml:space="preserve">[1] Scientific Platform Serving for Statistics Professional 2021. SPSSPRO. (Version 1.0.11)[Online Application Software]. Retrieved from https://www.spsspro.com.</w:t>
      </w:r>
      <w:r>
        <w:rPr>
          <w:b w:val="false"/>
          <w:bCs w:val="false"/>
          <w:color w:val="000000"/>
          <w:sz w:val="18"/>
          <w:szCs w:val="18"/>
        </w:rPr>
        <w:br/>
        <w:t xml:space="preserve">[2] 曹永福,格兰杰因果性检验评述[J]世界经济统计研究[J]， 2005．52(2)：16-21.</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2023-09-09T07:02:01.403Z</dcterms:created>
  <dcterms:modified xsi:type="dcterms:W3CDTF">2023-09-09T07:02:01.403Z</dcterms:modified>
</cp:coreProperties>
</file>

<file path=docProps/custom.xml><?xml version="1.0" encoding="utf-8"?>
<Properties xmlns="http://schemas.openxmlformats.org/officeDocument/2006/custom-properties" xmlns:vt="http://schemas.openxmlformats.org/officeDocument/2006/docPropsVTypes"/>
</file>