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-30.631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-2.669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0.080*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-2.568</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基于变量销售单价(元/千克)，显著性P值为0.000***，呈现显著性，拒绝原假设，该序列为平稳的时间序列。</w:t>
      </w:r>
      <w:r>
        <w:rPr>
          <w:b w:val="false"/>
          <w:bCs w:val="false"/>
          <w:color w:val="000000"/>
          <w:sz w:val="18"/>
          <w:szCs w:val="18"/>
        </w:rPr>
        <w:br/>
        <w:t xml:space="preserve">基于变量加成率，显著性P值为0.000***，呈现显著性，拒绝原假设，该序列为平稳的时间序列。</w:t>
      </w:r>
      <w:r>
        <w:rPr>
          <w:b w:val="false"/>
          <w:bCs w:val="false"/>
          <w:color w:val="000000"/>
          <w:sz w:val="18"/>
          <w:szCs w:val="18"/>
        </w:rPr>
        <w:br/>
        <w:t xml:space="preserve">基于变量销量(千克)_异常值处理，显著性P值为 0.080*，水平上不呈现显著性，不能拒绝原假设，该序列为非平稳的时间序列。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0.853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0.544</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基于变量加成率与销售单价(元/千克)，显著性P值为0.221，不呈现显著性，不能拒绝原假设，加成率不可以引起销售单价(元/千克)变化。</w:t>
      </w:r>
      <w:r>
        <w:rPr>
          <w:b w:val="false"/>
          <w:bCs w:val="false"/>
          <w:color w:val="000000"/>
          <w:sz w:val="18"/>
          <w:szCs w:val="18"/>
        </w:rPr>
        <w:br/>
        <w:t xml:space="preserve">基于变量销售单价(元/千克)与加成率，显著性P值为0.210，不呈现显著性，不能拒绝原假设，销售单价(元/千克)不可以引起加成率变化。</w:t>
      </w:r>
      <w:r>
        <w:rPr>
          <w:b w:val="false"/>
          <w:bCs w:val="false"/>
          <w:color w:val="000000"/>
          <w:sz w:val="18"/>
          <w:szCs w:val="18"/>
        </w:rPr>
        <w:br/>
        <w:t xml:space="preserve">基于变量销量(千克)_异常值处理与销售单价(元/千克)，显著性P值为0.009***，呈现显著性，拒绝原假设，销量(千克)_异常值处理可以引起销售单价(元/千克)变化。</w:t>
      </w:r>
      <w:r>
        <w:rPr>
          <w:b w:val="false"/>
          <w:bCs w:val="false"/>
          <w:color w:val="000000"/>
          <w:sz w:val="18"/>
          <w:szCs w:val="18"/>
        </w:rPr>
        <w:br/>
        <w:t xml:space="preserve">基于变量销售单价(元/千克)与销量(千克)_异常值处理，显著性P值为0.975，不呈现显著性，不能拒绝原假设，销售单价(元/千克)不可以引起销量(千克)_异常值处理变化。</w:t>
      </w:r>
      <w:r>
        <w:rPr>
          <w:b w:val="false"/>
          <w:bCs w:val="false"/>
          <w:color w:val="000000"/>
          <w:sz w:val="18"/>
          <w:szCs w:val="18"/>
        </w:rPr>
        <w:br/>
        <w:t xml:space="preserve">基于变量销量(千克)_异常值处理与加成率，显著性P值为0.858，不呈现显著性，不能拒绝原假设，销量(千克)_异常值处理不可以引起加成率变化。</w:t>
      </w:r>
      <w:r>
        <w:rPr>
          <w:b w:val="false"/>
          <w:bCs w:val="false"/>
          <w:color w:val="000000"/>
          <w:sz w:val="18"/>
          <w:szCs w:val="18"/>
        </w:rPr>
        <w:br/>
        <w:t xml:space="preserve">基于变量加成率与销量(千克)_异常值处理，显著性P值为0.544，不呈现显著性，不能拒绝原假设，加成率不可以引起销量(千克)_异常值处理变化。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2023-09-09T16:02:08.055Z</dcterms:created>
  <dcterms:modified xsi:type="dcterms:W3CDTF">2023-09-09T16:02:08.055Z</dcterms:modified>
</cp:coreProperties>
</file>

<file path=docProps/custom.xml><?xml version="1.0" encoding="utf-8"?>
<Properties xmlns="http://schemas.openxmlformats.org/officeDocument/2006/custom-properties" xmlns:vt="http://schemas.openxmlformats.org/officeDocument/2006/docPropsVTypes"/>
</file>