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Q2.xlsx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VAR向量自回归模型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暂无数据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VAR模型建立之前需要对各时间序列变量进行平稳性检验。若各时间序列均是平稳序列，则可建立 VAR 模型；否则得到的向量自回归模型是伪回归。若是各数据不满足平稳性，但通过了协整检验，也可建立向量自回归模型。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不同滞后阶数的比较。（可根据不同滞后阶数的各信息准则结果，找到一个较优的滞后阶数，再重新建立VAR模型。）</w:t>
      </w:r>
      <w:r>
        <w:rPr>
          <w:b w:val="false"/>
          <w:bCs w:val="false"/>
          <w:color w:val="000000"/>
          <w:sz w:val="18"/>
          <w:szCs w:val="18"/>
        </w:rPr>
        <w:br/>
        <w:t xml:space="preserve">3.
建立VAR模型并对参数进行估计。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在建立VAR模型之后，需要对模型进行稳定性检验。在检验通过后，才能进行脉冲响应分析和方差分解。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输出结果1：ADF检验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变量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</w:t>
            </w:r>
          </w:p>
        </w:tc>
        <w:tc>
          <w:tcPr>
            <w:gridSpan w:val="3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临界值</w:t>
            </w:r>
          </w:p>
        </w:tc>
      </w:tr>
      <w:tr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-3.811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-3.714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0.004***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-7.164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-2.568</w:t>
            </w:r>
          </w:p>
        </w:tc>
      </w:tr>
      <w:tr>
        <w:tc>
          <w:tcPr>
            <w:gridSpan w:val="6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上表格为ADF检验的结果，包括变量、T检验结果、AIC值等，用于检验时间序列是否平稳。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 P&lt;0.05，则说明序列是平稳序列。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 P&gt;0.05，则说明序列是非平稳序列。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该序列检验的结果显示:</w:t>
      </w:r>
      <w:r>
        <w:rPr>
          <w:b w:val="false"/>
          <w:bCs w:val="false"/>
          <w:color w:val="000000"/>
          <w:sz w:val="18"/>
          <w:szCs w:val="18"/>
        </w:rPr>
        <w:br/>
        <w:t xml:space="preserve">基于变量销量(千克)，显著性P值为0.003***，水平上呈现显著性，拒绝原假设，该序列为平稳的时间序列。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基于变量销售单价(元/千克)，显著性P值为0.004***，水平上呈现显著性，拒绝原假设，该序列为平稳的时间序列。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基于变量加成率，显著性P值为0.000***，水平上呈现显著性，拒绝原假设，该序列为平稳的时间序列。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输出结果2：不同滞后阶数的比较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滞后阶数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logL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SC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HQ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FPE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-7174.881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5.159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5.173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5.164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173.907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-6483.373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3.927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3.892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47.957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-6349.038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3.643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3.742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3.681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38.204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-6280.472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3.541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3.683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34.493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-6242.2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3.496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3.681*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3.566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32.994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-6215.225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3.473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3.701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32.246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-6176.554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3.428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3.698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3.531*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30.817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-6153.27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3.412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3.725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3.531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30.33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-6135.387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3.406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3.763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3.542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30.16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-6107.89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3.382*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3.782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3.534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29.443*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-6096.952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3.832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3.558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29.671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-6080.299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3.387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3.872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3.571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29.575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了滞后p阶的向量自回归模型的信息准则，用于选择较优的滞后阶数。包括logL、FPE、AIC、SC、HQ，其中logL参与到FPE、AIC、SC、HQ的计算，最终通过对FPE、AIC、SC、HQ的指标进行评价。选择最优滞后阶数有以下两个规则：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若某一滞后阶数的有最多的 * ，建议选取该滞后阶数建立VAR模型。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若有阶数带有的 * 数量相同，那么就选择尽可能小的阶数。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由FPE、AIC、SC、HQ四项评价指标的结果，滞后阶数建议选为9阶，即建立VAR(9)模型。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输出结果3：模型参数估计表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估计量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销量(千克)(-1)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19.128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-1.747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0.953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销量(千克)(-2)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3.469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-0.443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销售单价(元/千克)(-1)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-0.006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0.004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-1.065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13.161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-1.543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销售单价(元/千克)(-2)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-0.002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0.004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13.384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-0.605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加成率(-1)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0.263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8.632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加成率(-2)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-0.792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0.208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3.624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-3.351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6.843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常数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5.714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0.381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4.118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8.85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9.127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上表格展示了VAR模型的参数估计结果表。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销量(千克)=0.586*销量(千克)(-1)+0.106*销量(千克)(-2)-0.132*销售单价(元/千克)(-1)-0.042*销售单价(元/千克)(-2)+0.215*加成率(-1)+3.66*加成率(-2)+5.714</w:t>
      </w:r>
      <w:r>
        <w:rPr>
          <w:b w:val="false"/>
          <w:bCs w:val="false"/>
          <w:color w:val="000000"/>
          <w:sz w:val="18"/>
          <w:szCs w:val="18"/>
        </w:rPr>
        <w:br/>
        <w:t xml:space="preserve">销售单价(元/千克)=-0.013*销量(千克)(-1)+0.004*销量(千克)(-2)+0.381*销售单价(元/千克)(-1)+0.386*销售单价(元/千克)(-2)-0.236*加成率(-1)-0.792*加成率(-2)+2.873</w:t>
      </w:r>
      <w:r>
        <w:rPr>
          <w:b w:val="false"/>
          <w:bCs w:val="false"/>
          <w:color w:val="000000"/>
          <w:sz w:val="18"/>
          <w:szCs w:val="18"/>
        </w:rPr>
        <w:br/>
        <w:t xml:space="preserve">加成率=0.001*销量(千克)(-1)-0.0*销量(千克)(-2)-0.006*销售单价(元/千克)(-1)-0.002*销售单价(元/千克)(-2)+0.263*加成率(-1)+0.208*加成率(-2)+0.381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输出结果4：VAR模型稳定性检验</w:t>
      </w:r>
    </w:p>
    <w:p>
      <w:pPr>
        <w:spacing w:after="500"/>
        <w:jc w:val="center"/>
      </w:pPr>
      <w:r>
        <w:drawing>
          <wp:inline distT="0" distB="0" distL="0" distR="0">
            <wp:extent cx="4762500" cy="4762500"/>
            <wp:effectExtent b="0" l="0" r="0" t="0"/>
            <wp:docPr id="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上图展示了VAR模型中的AR根图。若所有的点都位于单位圆内，由此可判断VAR系统是稳定的，模型可以进一步做脉冲响应分析和方差分解。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输出结果5：脉冲响应分析
冲击变量：
受冲击变量：
阶数：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上图展示了脉冲响应分析图。它描述的是VAR模型中的一个内生变量（冲击变量）的冲击给另一个内生变量（受冲击变量）所带来的影响。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输出结果6：方差分解结果表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阶数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销量(千克)%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销售单价(元/千克)%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9.597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11.132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99.932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11.992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99.075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12.448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98.453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1.405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12.715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97.781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2.005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12.874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97.245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2.447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12.972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96.809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2.783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13.034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96.47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3.02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13.074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96.207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3.188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13.101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96.005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3.303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上表展示了方差分解结果表。方差分解是分析预测残差的标准差由不同冲击影响的比例，也是对应内生变量对标准差的贡献比例。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陈强，高级计量经济学及 Stata 应用[M], 高等教育出版社，2014.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8zm755vkjtyzhchymimq.png"/><Relationship Id="rId7" Type="http://schemas.openxmlformats.org/officeDocument/2006/relationships/image" Target="media/c3mkgegptmq-wu3tbu3x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2023-09-09T07:48:57.358Z</dcterms:created>
  <dcterms:modified xsi:type="dcterms:W3CDTF">2023-09-09T07:48:57.358Z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