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3146" w14:textId="1072C5BE" w:rsidR="009F34F6" w:rsidRDefault="009F34F6">
      <w:pPr>
        <w:rPr>
          <w:rFonts w:ascii="Times New Roman" w:hAnsi="Times New Roman" w:cs="Times New Roman"/>
          <w:b/>
          <w:bCs/>
          <w:sz w:val="28"/>
          <w:szCs w:val="28"/>
        </w:rPr>
      </w:pPr>
      <w:r w:rsidRPr="009F34F6">
        <w:rPr>
          <w:rFonts w:ascii="Times New Roman" w:hAnsi="Times New Roman" w:cs="Times New Roman"/>
          <w:b/>
          <w:bCs/>
          <w:sz w:val="28"/>
          <w:szCs w:val="28"/>
        </w:rPr>
        <w:t>Descriptive statistics on the under-five and maternal mortality rates</w:t>
      </w:r>
      <w:r w:rsidR="00BE2479">
        <w:rPr>
          <w:rFonts w:ascii="Times New Roman" w:hAnsi="Times New Roman" w:cs="Times New Roman"/>
          <w:b/>
          <w:bCs/>
          <w:sz w:val="28"/>
          <w:szCs w:val="28"/>
        </w:rPr>
        <w:t xml:space="preserve"> between 2003 and 2023</w:t>
      </w:r>
    </w:p>
    <w:p w14:paraId="6AEC2357" w14:textId="77777777" w:rsidR="00362471" w:rsidRDefault="00362471">
      <w:pPr>
        <w:rPr>
          <w:rFonts w:ascii="Times New Roman" w:hAnsi="Times New Roman" w:cs="Times New Roman"/>
          <w:b/>
          <w:bCs/>
          <w:sz w:val="28"/>
          <w:szCs w:val="28"/>
        </w:rPr>
      </w:pPr>
    </w:p>
    <w:p w14:paraId="4164C7E3" w14:textId="23E24730" w:rsidR="00362471" w:rsidRDefault="00362471">
      <w:pPr>
        <w:rPr>
          <w:rFonts w:ascii="Times New Roman" w:hAnsi="Times New Roman" w:cs="Times New Roman"/>
          <w:sz w:val="22"/>
        </w:rPr>
      </w:pPr>
      <w:r w:rsidRPr="00362471">
        <w:rPr>
          <w:rFonts w:ascii="Times New Roman" w:hAnsi="Times New Roman" w:cs="Times New Roman"/>
          <w:sz w:val="22"/>
        </w:rPr>
        <w:t>Next, I will use the line chart to make a certain analysis of the regional mortality rate of children under 5 years old and maternal mortality, and use this to prove that China has made great progress between 2003 and 2022.</w:t>
      </w:r>
    </w:p>
    <w:p w14:paraId="1B5EBE46" w14:textId="77777777" w:rsidR="00362471" w:rsidRPr="00362471" w:rsidRDefault="00362471">
      <w:pPr>
        <w:rPr>
          <w:rFonts w:ascii="Times New Roman" w:hAnsi="Times New Roman" w:cs="Times New Roman" w:hint="eastAsia"/>
          <w:sz w:val="22"/>
        </w:rPr>
      </w:pPr>
    </w:p>
    <w:p w14:paraId="54CC0899" w14:textId="0417416E" w:rsidR="007C6021" w:rsidRDefault="007546D0" w:rsidP="009F34F6">
      <w:pPr>
        <w:ind w:left="420"/>
      </w:pPr>
      <w:r>
        <w:rPr>
          <w:noProof/>
        </w:rPr>
        <w:drawing>
          <wp:inline distT="0" distB="0" distL="0" distR="0" wp14:anchorId="52D3AE6E" wp14:editId="11E5A448">
            <wp:extent cx="4718050" cy="2838450"/>
            <wp:effectExtent l="0" t="0" r="6350" b="0"/>
            <wp:docPr id="1984195187" name="图表 1">
              <a:extLst xmlns:a="http://schemas.openxmlformats.org/drawingml/2006/main">
                <a:ext uri="{FF2B5EF4-FFF2-40B4-BE49-F238E27FC236}">
                  <a16:creationId xmlns:a16="http://schemas.microsoft.com/office/drawing/2014/main" id="{EA40E320-9478-AF00-31AC-70EC13ED6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9BBC50" w14:textId="77777777" w:rsidR="00B47D75" w:rsidRDefault="00B47D75" w:rsidP="009F34F6">
      <w:pPr>
        <w:ind w:left="420"/>
        <w:rPr>
          <w:rFonts w:hint="eastAsia"/>
        </w:rPr>
      </w:pPr>
    </w:p>
    <w:p w14:paraId="0B128840" w14:textId="77777777" w:rsidR="00362471" w:rsidRDefault="00362471" w:rsidP="009F34F6">
      <w:pPr>
        <w:ind w:left="420"/>
        <w:rPr>
          <w:rFonts w:ascii="Times New Roman" w:hAnsi="Times New Roman" w:cs="Times New Roman"/>
          <w:sz w:val="22"/>
        </w:rPr>
      </w:pPr>
      <w:r w:rsidRPr="00362471">
        <w:rPr>
          <w:rFonts w:ascii="Times New Roman" w:hAnsi="Times New Roman" w:cs="Times New Roman"/>
          <w:sz w:val="22"/>
        </w:rPr>
        <w:t xml:space="preserve">Neonatal mortality rate: </w:t>
      </w:r>
    </w:p>
    <w:p w14:paraId="11B0F6DF" w14:textId="3FE8E6D3" w:rsidR="00B47D75" w:rsidRPr="00B47D75" w:rsidRDefault="00362471" w:rsidP="009F34F6">
      <w:pPr>
        <w:ind w:left="420"/>
        <w:rPr>
          <w:rFonts w:ascii="Times New Roman" w:hAnsi="Times New Roman" w:cs="Times New Roman" w:hint="eastAsia"/>
          <w:sz w:val="22"/>
        </w:rPr>
      </w:pPr>
      <w:r w:rsidRPr="00362471">
        <w:rPr>
          <w:rFonts w:ascii="Times New Roman" w:hAnsi="Times New Roman" w:cs="Times New Roman"/>
          <w:sz w:val="22"/>
        </w:rPr>
        <w:t>As can be seen from the above picture</w:t>
      </w:r>
      <w:r>
        <w:rPr>
          <w:rFonts w:ascii="Times New Roman" w:hAnsi="Times New Roman" w:cs="Times New Roman"/>
          <w:sz w:val="22"/>
        </w:rPr>
        <w:t>, b</w:t>
      </w:r>
      <w:r w:rsidRPr="00362471">
        <w:rPr>
          <w:rFonts w:ascii="Times New Roman" w:hAnsi="Times New Roman" w:cs="Times New Roman"/>
          <w:sz w:val="22"/>
        </w:rPr>
        <w:t>etween the years 2003 and 2022, China has witnessed a noteworthy decline in its neonatal mortality rate, reducing from 18‰ to 3.1‰.</w:t>
      </w:r>
      <w:r>
        <w:rPr>
          <w:rFonts w:ascii="Times New Roman" w:hAnsi="Times New Roman" w:cs="Times New Roman"/>
          <w:sz w:val="22"/>
        </w:rPr>
        <w:t xml:space="preserve"> All </w:t>
      </w:r>
      <w:r w:rsidRPr="00362471">
        <w:rPr>
          <w:rFonts w:ascii="Times New Roman" w:hAnsi="Times New Roman" w:cs="Times New Roman"/>
          <w:sz w:val="22"/>
        </w:rPr>
        <w:t>the data</w:t>
      </w:r>
      <w:r>
        <w:rPr>
          <w:rFonts w:ascii="Times New Roman" w:hAnsi="Times New Roman" w:cs="Times New Roman"/>
          <w:sz w:val="22"/>
        </w:rPr>
        <w:t xml:space="preserve"> are </w:t>
      </w:r>
      <w:r w:rsidRPr="00362471">
        <w:rPr>
          <w:rFonts w:ascii="Times New Roman" w:hAnsi="Times New Roman" w:cs="Times New Roman"/>
          <w:sz w:val="22"/>
        </w:rPr>
        <w:t>generally showed a downward trend</w:t>
      </w:r>
      <w:r>
        <w:rPr>
          <w:rFonts w:ascii="Times New Roman" w:hAnsi="Times New Roman" w:cs="Times New Roman"/>
          <w:sz w:val="22"/>
        </w:rPr>
        <w:t xml:space="preserve">. </w:t>
      </w:r>
      <w:r w:rsidRPr="00362471">
        <w:rPr>
          <w:rFonts w:ascii="Times New Roman" w:hAnsi="Times New Roman" w:cs="Times New Roman"/>
          <w:sz w:val="22"/>
        </w:rPr>
        <w:t>This substantial improvement underscores the advancements made in healthcare and targeted interventions for newborn health. This decline can be attributed to a multitude of factors including enhanced healthcare facility accessibility, advancements in medical technology, heightened awareness of maternal and child health, and the implementation of government policies and programs aimed at reducing neonatal mortality. These aggregated efforts have contributed significantly to the observed downward trend in neonatal mortality rates in China over the given period.</w:t>
      </w:r>
    </w:p>
    <w:p w14:paraId="2B5DC5F0" w14:textId="64BEA463" w:rsidR="007546D0" w:rsidRDefault="007546D0" w:rsidP="009F34F6">
      <w:pPr>
        <w:ind w:left="420"/>
      </w:pPr>
      <w:r>
        <w:rPr>
          <w:noProof/>
        </w:rPr>
        <w:lastRenderedPageBreak/>
        <w:drawing>
          <wp:inline distT="0" distB="0" distL="0" distR="0" wp14:anchorId="00B54FA6" wp14:editId="0E851DB5">
            <wp:extent cx="4726745" cy="2750234"/>
            <wp:effectExtent l="0" t="0" r="17145" b="12065"/>
            <wp:docPr id="1778159625" name="图表 1">
              <a:extLst xmlns:a="http://schemas.openxmlformats.org/drawingml/2006/main">
                <a:ext uri="{FF2B5EF4-FFF2-40B4-BE49-F238E27FC236}">
                  <a16:creationId xmlns:a16="http://schemas.microsoft.com/office/drawing/2014/main" id="{CC5E29DF-D2A5-D63B-A0BB-0A7B0B3E9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965804" w14:textId="77777777" w:rsidR="00B47D75" w:rsidRDefault="00B47D75" w:rsidP="009F34F6">
      <w:pPr>
        <w:ind w:left="420"/>
        <w:rPr>
          <w:rFonts w:hint="eastAsia"/>
        </w:rPr>
      </w:pPr>
    </w:p>
    <w:p w14:paraId="73327735" w14:textId="77777777" w:rsidR="00B47D75" w:rsidRDefault="00B47D75" w:rsidP="009F34F6">
      <w:pPr>
        <w:ind w:left="420"/>
        <w:rPr>
          <w:rFonts w:ascii="Times New Roman" w:hAnsi="Times New Roman" w:cs="Times New Roman"/>
          <w:sz w:val="22"/>
        </w:rPr>
      </w:pPr>
      <w:r w:rsidRPr="00B47D75">
        <w:rPr>
          <w:rFonts w:ascii="Times New Roman" w:hAnsi="Times New Roman" w:cs="Times New Roman"/>
          <w:sz w:val="22"/>
        </w:rPr>
        <w:t>Infant mortality rate:</w:t>
      </w:r>
      <w:r w:rsidRPr="00B47D75">
        <w:rPr>
          <w:rFonts w:ascii="Times New Roman" w:hAnsi="Times New Roman" w:cs="Times New Roman"/>
          <w:sz w:val="22"/>
        </w:rPr>
        <w:cr/>
        <w:t>China has made significant progress in reducing the overall infant mortality rate, which includes deaths during the first year of life.</w:t>
      </w:r>
    </w:p>
    <w:p w14:paraId="69F6F105" w14:textId="03EF239F" w:rsidR="00B47D75" w:rsidRDefault="00362471" w:rsidP="009F34F6">
      <w:pPr>
        <w:ind w:left="420"/>
        <w:rPr>
          <w:rFonts w:ascii="Times New Roman" w:hAnsi="Times New Roman" w:cs="Times New Roman"/>
          <w:sz w:val="22"/>
        </w:rPr>
      </w:pPr>
      <w:r w:rsidRPr="00362471">
        <w:rPr>
          <w:rFonts w:ascii="Times New Roman" w:hAnsi="Times New Roman" w:cs="Times New Roman"/>
          <w:sz w:val="22"/>
        </w:rPr>
        <w:t>Among them, the data generally showed a downward trend</w:t>
      </w:r>
      <w:r>
        <w:rPr>
          <w:rFonts w:ascii="Times New Roman" w:hAnsi="Times New Roman" w:cs="Times New Roman"/>
          <w:sz w:val="22"/>
        </w:rPr>
        <w:t xml:space="preserve">. </w:t>
      </w:r>
      <w:r w:rsidR="00B47D75" w:rsidRPr="00B47D75">
        <w:rPr>
          <w:rFonts w:ascii="Times New Roman" w:hAnsi="Times New Roman" w:cs="Times New Roman"/>
          <w:sz w:val="22"/>
        </w:rPr>
        <w:t>From 2003 to 2022, the infant mortality rate declined from 25.5‰ to 4.9‰.</w:t>
      </w:r>
      <w:r w:rsidR="00B47D75" w:rsidRPr="00B47D75">
        <w:rPr>
          <w:rFonts w:ascii="Times New Roman" w:hAnsi="Times New Roman" w:cs="Times New Roman"/>
          <w:sz w:val="22"/>
        </w:rPr>
        <w:cr/>
        <w:t>Government investments in healthcare infrastructure, prenatal care, vaccination programs, and disease prevention have contributed to this decline.</w:t>
      </w:r>
    </w:p>
    <w:p w14:paraId="2686CDAD" w14:textId="77777777" w:rsidR="00B47D75" w:rsidRPr="00B47D75" w:rsidRDefault="00B47D75" w:rsidP="009F34F6">
      <w:pPr>
        <w:ind w:left="420"/>
        <w:rPr>
          <w:rFonts w:ascii="Times New Roman" w:hAnsi="Times New Roman" w:cs="Times New Roman" w:hint="eastAsia"/>
          <w:sz w:val="22"/>
        </w:rPr>
      </w:pPr>
    </w:p>
    <w:p w14:paraId="71EC6399" w14:textId="276825BE" w:rsidR="00B47D75" w:rsidRDefault="00362471" w:rsidP="009F34F6">
      <w:pPr>
        <w:ind w:left="420"/>
        <w:rPr>
          <w:rFonts w:hint="eastAsia"/>
        </w:rPr>
      </w:pPr>
      <w:r>
        <w:rPr>
          <w:noProof/>
        </w:rPr>
        <w:drawing>
          <wp:inline distT="0" distB="0" distL="0" distR="0" wp14:anchorId="617CA3F1" wp14:editId="67D26707">
            <wp:extent cx="5057336" cy="3327009"/>
            <wp:effectExtent l="0" t="0" r="10160" b="6985"/>
            <wp:docPr id="1571087106" name="图表 1">
              <a:extLst xmlns:a="http://schemas.openxmlformats.org/drawingml/2006/main">
                <a:ext uri="{FF2B5EF4-FFF2-40B4-BE49-F238E27FC236}">
                  <a16:creationId xmlns:a16="http://schemas.microsoft.com/office/drawing/2014/main" id="{CDBC1C8C-B485-0CAE-2EB1-CC3C9363CE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B484B7" w14:textId="77777777" w:rsidR="00B47D75" w:rsidRDefault="00B47D75" w:rsidP="009F34F6">
      <w:pPr>
        <w:ind w:left="420"/>
        <w:rPr>
          <w:rFonts w:ascii="Times New Roman" w:hAnsi="Times New Roman" w:cs="Times New Roman"/>
          <w:sz w:val="22"/>
        </w:rPr>
      </w:pPr>
      <w:r w:rsidRPr="00B47D75">
        <w:rPr>
          <w:rFonts w:ascii="Times New Roman" w:hAnsi="Times New Roman" w:cs="Times New Roman"/>
          <w:sz w:val="22"/>
        </w:rPr>
        <w:t>Under-five mortality rate:</w:t>
      </w:r>
    </w:p>
    <w:p w14:paraId="72C828A8" w14:textId="77777777" w:rsidR="00B47D75" w:rsidRDefault="00B47D75" w:rsidP="009F34F6">
      <w:pPr>
        <w:ind w:left="420"/>
        <w:rPr>
          <w:rFonts w:ascii="Times New Roman" w:hAnsi="Times New Roman" w:cs="Times New Roman"/>
          <w:sz w:val="22"/>
        </w:rPr>
      </w:pPr>
      <w:r w:rsidRPr="00B47D75">
        <w:rPr>
          <w:rFonts w:ascii="Times New Roman" w:hAnsi="Times New Roman" w:cs="Times New Roman"/>
          <w:sz w:val="22"/>
        </w:rPr>
        <w:t>The under-five mortality rate is another essential indicator of child health. It tracks the probability of a child dying before reaching the age of five.</w:t>
      </w:r>
    </w:p>
    <w:p w14:paraId="709D0415" w14:textId="6391CFB1" w:rsidR="00421C26" w:rsidRPr="00B47D75" w:rsidRDefault="00B47D75" w:rsidP="009F34F6">
      <w:pPr>
        <w:ind w:left="420"/>
        <w:rPr>
          <w:rFonts w:ascii="Times New Roman" w:hAnsi="Times New Roman" w:cs="Times New Roman"/>
          <w:sz w:val="22"/>
        </w:rPr>
      </w:pPr>
      <w:r w:rsidRPr="00B47D75">
        <w:rPr>
          <w:rFonts w:ascii="Times New Roman" w:hAnsi="Times New Roman" w:cs="Times New Roman"/>
          <w:sz w:val="22"/>
        </w:rPr>
        <w:t>China has shown remarkable progress in reducing under-five mortality.</w:t>
      </w:r>
      <w:r w:rsidRPr="00B47D75">
        <w:rPr>
          <w:rFonts w:ascii="Times New Roman" w:hAnsi="Times New Roman" w:cs="Times New Roman"/>
          <w:sz w:val="22"/>
        </w:rPr>
        <w:cr/>
      </w:r>
      <w:r w:rsidR="00362471" w:rsidRPr="00362471">
        <w:rPr>
          <w:rFonts w:ascii="Times New Roman" w:hAnsi="Times New Roman" w:cs="Times New Roman"/>
          <w:sz w:val="22"/>
        </w:rPr>
        <w:lastRenderedPageBreak/>
        <w:t>Among them, the data generally showed a downward trend</w:t>
      </w:r>
      <w:r w:rsidR="00362471">
        <w:rPr>
          <w:rFonts w:ascii="Times New Roman" w:hAnsi="Times New Roman" w:cs="Times New Roman"/>
          <w:sz w:val="22"/>
        </w:rPr>
        <w:t xml:space="preserve">. </w:t>
      </w:r>
      <w:r w:rsidRPr="00B47D75">
        <w:rPr>
          <w:rFonts w:ascii="Times New Roman" w:hAnsi="Times New Roman" w:cs="Times New Roman"/>
          <w:sz w:val="22"/>
        </w:rPr>
        <w:t>From 2003 to 2022, the under-five mortality rate plummeted from 33.4‰ to 6.8‰, reflecting significant improvements in child healthcare and disease prevention.</w:t>
      </w:r>
    </w:p>
    <w:p w14:paraId="06D1D838" w14:textId="77777777" w:rsidR="00B47D75" w:rsidRPr="00B47D75" w:rsidRDefault="00B47D75" w:rsidP="009F34F6">
      <w:pPr>
        <w:ind w:left="420"/>
        <w:rPr>
          <w:rFonts w:ascii="Times New Roman" w:hAnsi="Times New Roman" w:cs="Times New Roman"/>
          <w:sz w:val="22"/>
        </w:rPr>
      </w:pPr>
    </w:p>
    <w:p w14:paraId="5962E2C4" w14:textId="77777777" w:rsidR="008D72CA" w:rsidRDefault="00421C26" w:rsidP="008D72CA">
      <w:pPr>
        <w:ind w:left="420"/>
        <w:rPr>
          <w:rFonts w:ascii="Times New Roman" w:hAnsi="Times New Roman" w:cs="Times New Roman"/>
          <w:sz w:val="22"/>
        </w:rPr>
      </w:pPr>
      <w:r>
        <w:rPr>
          <w:noProof/>
        </w:rPr>
        <w:drawing>
          <wp:inline distT="0" distB="0" distL="0" distR="0" wp14:anchorId="336EF200" wp14:editId="50DE4355">
            <wp:extent cx="4888523" cy="3179299"/>
            <wp:effectExtent l="0" t="0" r="7620" b="2540"/>
            <wp:docPr id="1261913076" name="图表 1">
              <a:extLst xmlns:a="http://schemas.openxmlformats.org/drawingml/2006/main">
                <a:ext uri="{FF2B5EF4-FFF2-40B4-BE49-F238E27FC236}">
                  <a16:creationId xmlns:a16="http://schemas.microsoft.com/office/drawing/2014/main" id="{59B2C36C-1868-544C-9CFC-D7BAD40425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D72CA" w:rsidRPr="008D72CA">
        <w:rPr>
          <w:rFonts w:ascii="Times New Roman" w:hAnsi="Times New Roman" w:cs="Times New Roman"/>
          <w:sz w:val="22"/>
        </w:rPr>
        <w:t xml:space="preserve"> </w:t>
      </w:r>
    </w:p>
    <w:p w14:paraId="1E4FB9AA" w14:textId="77777777" w:rsidR="00BE2479" w:rsidRDefault="00BE2479" w:rsidP="008D72CA">
      <w:pPr>
        <w:ind w:left="420"/>
        <w:rPr>
          <w:rFonts w:ascii="Times New Roman" w:hAnsi="Times New Roman" w:cs="Times New Roman"/>
          <w:sz w:val="22"/>
        </w:rPr>
      </w:pPr>
    </w:p>
    <w:p w14:paraId="5150EF29" w14:textId="3FDDF6F8" w:rsidR="00BE2479" w:rsidRDefault="00BE2479" w:rsidP="00BE2479">
      <w:pPr>
        <w:ind w:left="420"/>
        <w:rPr>
          <w:rFonts w:ascii="Times New Roman" w:hAnsi="Times New Roman" w:cs="Times New Roman" w:hint="eastAsia"/>
          <w:sz w:val="22"/>
        </w:rPr>
      </w:pPr>
      <w:r w:rsidRPr="00BE2479">
        <w:rPr>
          <w:rFonts w:ascii="Times New Roman" w:hAnsi="Times New Roman" w:cs="Times New Roman"/>
          <w:sz w:val="22"/>
        </w:rPr>
        <w:t>Maternal mortality rate</w:t>
      </w:r>
      <w:r>
        <w:rPr>
          <w:rFonts w:ascii="Times New Roman" w:hAnsi="Times New Roman" w:cs="Times New Roman" w:hint="eastAsia"/>
          <w:sz w:val="22"/>
        </w:rPr>
        <w:t>:</w:t>
      </w:r>
      <w:r>
        <w:rPr>
          <w:rFonts w:ascii="Times New Roman" w:hAnsi="Times New Roman" w:cs="Times New Roman"/>
          <w:sz w:val="22"/>
        </w:rPr>
        <w:t xml:space="preserve"> </w:t>
      </w:r>
    </w:p>
    <w:p w14:paraId="0F692FDB" w14:textId="37203749" w:rsidR="008D72CA" w:rsidRDefault="00BE2479" w:rsidP="008D72CA">
      <w:pPr>
        <w:ind w:left="420"/>
        <w:rPr>
          <w:rFonts w:ascii="Times New Roman" w:hAnsi="Times New Roman" w:cs="Times New Roman"/>
          <w:sz w:val="22"/>
        </w:rPr>
      </w:pPr>
      <w:r w:rsidRPr="00BE2479">
        <w:rPr>
          <w:rFonts w:ascii="Times New Roman" w:hAnsi="Times New Roman" w:cs="Times New Roman"/>
          <w:sz w:val="22"/>
        </w:rPr>
        <w:t>As can be seen from the line chart above, China's maternal mortality rate has decreased. The rate dropped from 51.3 per 100,000 in 2003 to 15.7 per 100,000 in 2022. This reflects the remarkable progress China has made in maternal health. The maternal mortality rate fluctuates from year to year. From 2003 to 2010, the mortality rate showed a yearly decline. However, starting in 2010, mortality rates changed more slowly, with small fluctuations between 2014 and 2016. Since 2016, the maternal mortality rate has stabilized and remained at a low level. This shows that China has successfully reduced the maternal mortality rate in recent years, and has achieved remarkable results.</w:t>
      </w:r>
    </w:p>
    <w:p w14:paraId="15B23FD0" w14:textId="77777777" w:rsidR="00BE2479" w:rsidRDefault="00BE2479" w:rsidP="008D72CA">
      <w:pPr>
        <w:ind w:left="420"/>
        <w:rPr>
          <w:rFonts w:ascii="Times New Roman" w:hAnsi="Times New Roman" w:cs="Times New Roman"/>
          <w:sz w:val="22"/>
        </w:rPr>
      </w:pPr>
    </w:p>
    <w:p w14:paraId="04EB43D6" w14:textId="41A26E2B" w:rsidR="008D72CA" w:rsidRDefault="008D72CA" w:rsidP="008D72CA">
      <w:pPr>
        <w:ind w:left="420"/>
        <w:rPr>
          <w:rFonts w:ascii="Times New Roman" w:hAnsi="Times New Roman" w:cs="Times New Roman"/>
          <w:sz w:val="22"/>
        </w:rPr>
      </w:pPr>
      <w:r w:rsidRPr="00B47D75">
        <w:rPr>
          <w:rFonts w:ascii="Times New Roman" w:hAnsi="Times New Roman" w:cs="Times New Roman"/>
          <w:sz w:val="22"/>
        </w:rPr>
        <w:t>Urban and rural neonatal mortality rates:</w:t>
      </w:r>
    </w:p>
    <w:p w14:paraId="50962DE6" w14:textId="77777777" w:rsidR="008D72CA" w:rsidRDefault="008D72CA" w:rsidP="008D72CA">
      <w:pPr>
        <w:ind w:left="420"/>
        <w:rPr>
          <w:rFonts w:ascii="Times New Roman" w:hAnsi="Times New Roman" w:cs="Times New Roman"/>
          <w:sz w:val="22"/>
        </w:rPr>
      </w:pPr>
      <w:r w:rsidRPr="00B47D75">
        <w:rPr>
          <w:rFonts w:ascii="Times New Roman" w:hAnsi="Times New Roman" w:cs="Times New Roman"/>
          <w:sz w:val="22"/>
        </w:rPr>
        <w:t>Throughout the years, urban areas consistently exhibited lower neonatal mortality rates compared to rural areas.</w:t>
      </w:r>
      <w:r w:rsidRPr="00B47D75">
        <w:rPr>
          <w:rFonts w:ascii="Times New Roman" w:hAnsi="Times New Roman" w:cs="Times New Roman"/>
          <w:sz w:val="22"/>
        </w:rPr>
        <w:cr/>
        <w:t>The urban-rural gap in neonatal mortality rates has gradually reduced, indicating that efforts have been made to improve healthcare accessibility and quality in rural regions.</w:t>
      </w:r>
    </w:p>
    <w:p w14:paraId="2C6BC37F" w14:textId="77777777" w:rsidR="008D72CA" w:rsidRDefault="008D72CA" w:rsidP="008D72CA">
      <w:pPr>
        <w:ind w:left="420"/>
        <w:rPr>
          <w:rFonts w:ascii="Times New Roman" w:hAnsi="Times New Roman" w:cs="Times New Roman"/>
          <w:sz w:val="22"/>
        </w:rPr>
      </w:pPr>
      <w:r w:rsidRPr="00B47D75">
        <w:rPr>
          <w:rFonts w:ascii="Times New Roman" w:hAnsi="Times New Roman" w:cs="Times New Roman"/>
          <w:sz w:val="22"/>
        </w:rPr>
        <w:t>Government initiatives, including the Healthy China 2030 campaign, have aimed to bridge this gap by providing better healthcare services and infrastructure in rural areas.</w:t>
      </w:r>
    </w:p>
    <w:p w14:paraId="7586ECF1" w14:textId="77777777" w:rsidR="00BE2479" w:rsidRDefault="00BE2479" w:rsidP="008D72CA">
      <w:pPr>
        <w:ind w:left="420"/>
        <w:rPr>
          <w:rFonts w:ascii="Times New Roman" w:hAnsi="Times New Roman" w:cs="Times New Roman"/>
          <w:sz w:val="22"/>
        </w:rPr>
      </w:pPr>
    </w:p>
    <w:p w14:paraId="3E664841" w14:textId="77777777" w:rsidR="00BE2479" w:rsidRDefault="00BE2479" w:rsidP="008D72CA">
      <w:pPr>
        <w:ind w:left="420"/>
        <w:rPr>
          <w:rFonts w:ascii="Times New Roman" w:hAnsi="Times New Roman" w:cs="Times New Roman"/>
          <w:sz w:val="22"/>
        </w:rPr>
      </w:pPr>
    </w:p>
    <w:p w14:paraId="08475EE4" w14:textId="77777777" w:rsidR="00BE2479" w:rsidRDefault="00BE2479" w:rsidP="008D72CA">
      <w:pPr>
        <w:ind w:left="420"/>
        <w:rPr>
          <w:rFonts w:ascii="Times New Roman" w:hAnsi="Times New Roman" w:cs="Times New Roman"/>
          <w:sz w:val="22"/>
        </w:rPr>
      </w:pPr>
    </w:p>
    <w:p w14:paraId="432E6E40" w14:textId="77777777" w:rsidR="00BE2479" w:rsidRPr="00B47D75" w:rsidRDefault="00BE2479" w:rsidP="008D72CA">
      <w:pPr>
        <w:ind w:left="420"/>
        <w:rPr>
          <w:rFonts w:ascii="Times New Roman" w:hAnsi="Times New Roman" w:cs="Times New Roman" w:hint="eastAsia"/>
          <w:sz w:val="22"/>
        </w:rPr>
      </w:pPr>
    </w:p>
    <w:p w14:paraId="7708C834" w14:textId="77777777" w:rsidR="008D72CA" w:rsidRDefault="008D72CA" w:rsidP="008D72CA">
      <w:pPr>
        <w:ind w:left="420"/>
        <w:rPr>
          <w:rFonts w:ascii="Times New Roman" w:hAnsi="Times New Roman" w:cs="Times New Roman"/>
          <w:sz w:val="22"/>
        </w:rPr>
      </w:pPr>
    </w:p>
    <w:p w14:paraId="556E829E" w14:textId="5CF48F02" w:rsidR="008D72CA" w:rsidRPr="00BE2479" w:rsidRDefault="00BE2479" w:rsidP="008D72CA">
      <w:pPr>
        <w:ind w:left="420"/>
        <w:rPr>
          <w:rFonts w:ascii="Times New Roman" w:hAnsi="Times New Roman" w:cs="Times New Roman"/>
          <w:sz w:val="24"/>
          <w:szCs w:val="24"/>
        </w:rPr>
      </w:pPr>
      <w:r w:rsidRPr="00BE2479">
        <w:rPr>
          <w:rFonts w:ascii="Times New Roman" w:hAnsi="Times New Roman" w:cs="Times New Roman"/>
          <w:sz w:val="24"/>
          <w:szCs w:val="24"/>
        </w:rPr>
        <w:lastRenderedPageBreak/>
        <w:t>From the above we can conclude</w:t>
      </w:r>
      <w:r w:rsidRPr="00BE2479">
        <w:rPr>
          <w:rFonts w:ascii="Times New Roman" w:hAnsi="Times New Roman" w:cs="Times New Roman"/>
          <w:sz w:val="24"/>
          <w:szCs w:val="24"/>
        </w:rPr>
        <w:t xml:space="preserve">: </w:t>
      </w:r>
    </w:p>
    <w:p w14:paraId="1FE201CB" w14:textId="77777777" w:rsidR="00BE2479" w:rsidRPr="008D72CA" w:rsidRDefault="00BE2479" w:rsidP="008D72CA">
      <w:pPr>
        <w:ind w:left="420"/>
        <w:rPr>
          <w:rFonts w:ascii="Times New Roman" w:hAnsi="Times New Roman" w:cs="Times New Roman"/>
          <w:sz w:val="22"/>
        </w:rPr>
      </w:pPr>
    </w:p>
    <w:p w14:paraId="26F566BB" w14:textId="77777777" w:rsidR="008D72CA" w:rsidRPr="008D72CA" w:rsidRDefault="008D72CA" w:rsidP="008D72CA">
      <w:pPr>
        <w:ind w:left="420"/>
        <w:rPr>
          <w:rFonts w:ascii="Times New Roman" w:hAnsi="Times New Roman" w:cs="Times New Roman"/>
          <w:sz w:val="22"/>
        </w:rPr>
      </w:pPr>
      <w:r w:rsidRPr="008D72CA">
        <w:rPr>
          <w:rFonts w:ascii="Times New Roman" w:hAnsi="Times New Roman" w:cs="Times New Roman"/>
          <w:sz w:val="22"/>
        </w:rPr>
        <w:t>Healthcare infrastructure: China has invested heavily in healthcare infrastructure, particularly in rural areas. This has led to improved access to medical facilities, including maternal and child healthcare services.</w:t>
      </w:r>
    </w:p>
    <w:p w14:paraId="2F72E6E1" w14:textId="77777777" w:rsidR="008D72CA" w:rsidRPr="008D72CA" w:rsidRDefault="008D72CA" w:rsidP="008D72CA">
      <w:pPr>
        <w:ind w:left="420"/>
        <w:rPr>
          <w:rFonts w:ascii="Times New Roman" w:hAnsi="Times New Roman" w:cs="Times New Roman"/>
          <w:sz w:val="22"/>
        </w:rPr>
      </w:pPr>
    </w:p>
    <w:p w14:paraId="6610227F" w14:textId="77777777" w:rsidR="008D72CA" w:rsidRPr="008D72CA" w:rsidRDefault="008D72CA" w:rsidP="008D72CA">
      <w:pPr>
        <w:ind w:left="420"/>
        <w:rPr>
          <w:rFonts w:ascii="Times New Roman" w:hAnsi="Times New Roman" w:cs="Times New Roman"/>
          <w:sz w:val="22"/>
        </w:rPr>
      </w:pPr>
      <w:r w:rsidRPr="008D72CA">
        <w:rPr>
          <w:rFonts w:ascii="Times New Roman" w:hAnsi="Times New Roman" w:cs="Times New Roman"/>
          <w:sz w:val="22"/>
        </w:rPr>
        <w:t>Health policies and programs: The Chinese government has implemented various policies and programs focused on maternal and child health, such as the New Rural Cooperative Medical Scheme, the “Two Children Policy,” and the Healthy China 2030 campaign. These initiatives have prioritized healthcare improvement and played a role in reducing mortality rates.</w:t>
      </w:r>
    </w:p>
    <w:p w14:paraId="14085D66" w14:textId="77777777" w:rsidR="008D72CA" w:rsidRPr="008D72CA" w:rsidRDefault="008D72CA" w:rsidP="008D72CA">
      <w:pPr>
        <w:ind w:left="420"/>
        <w:rPr>
          <w:rFonts w:ascii="Times New Roman" w:hAnsi="Times New Roman" w:cs="Times New Roman"/>
          <w:sz w:val="22"/>
        </w:rPr>
      </w:pPr>
    </w:p>
    <w:p w14:paraId="1FF3BDD1" w14:textId="77777777" w:rsidR="008D72CA" w:rsidRPr="008D72CA" w:rsidRDefault="008D72CA" w:rsidP="008D72CA">
      <w:pPr>
        <w:ind w:left="420"/>
        <w:rPr>
          <w:rFonts w:ascii="Times New Roman" w:hAnsi="Times New Roman" w:cs="Times New Roman"/>
          <w:sz w:val="22"/>
        </w:rPr>
      </w:pPr>
      <w:r w:rsidRPr="008D72CA">
        <w:rPr>
          <w:rFonts w:ascii="Times New Roman" w:hAnsi="Times New Roman" w:cs="Times New Roman"/>
          <w:sz w:val="22"/>
        </w:rPr>
        <w:t>Improved healthcare quality and workforce: China has made efforts to enhance the quality of healthcare services and the skills of healthcare professionals. This includes initiatives to train doctors, nurses, and midwives, as well as the introduction of standardized protocols for maternal and child healthcare.</w:t>
      </w:r>
    </w:p>
    <w:p w14:paraId="64C5B166" w14:textId="77777777" w:rsidR="008D72CA" w:rsidRPr="008D72CA" w:rsidRDefault="008D72CA" w:rsidP="008D72CA">
      <w:pPr>
        <w:ind w:left="420"/>
        <w:rPr>
          <w:rFonts w:ascii="Times New Roman" w:hAnsi="Times New Roman" w:cs="Times New Roman"/>
          <w:sz w:val="22"/>
        </w:rPr>
      </w:pPr>
    </w:p>
    <w:p w14:paraId="0F3371EC" w14:textId="77777777" w:rsidR="008D72CA" w:rsidRPr="008D72CA" w:rsidRDefault="008D72CA" w:rsidP="008D72CA">
      <w:pPr>
        <w:ind w:left="420"/>
        <w:rPr>
          <w:rFonts w:ascii="Times New Roman" w:hAnsi="Times New Roman" w:cs="Times New Roman"/>
          <w:sz w:val="22"/>
        </w:rPr>
      </w:pPr>
      <w:r w:rsidRPr="008D72CA">
        <w:rPr>
          <w:rFonts w:ascii="Times New Roman" w:hAnsi="Times New Roman" w:cs="Times New Roman"/>
          <w:sz w:val="22"/>
        </w:rPr>
        <w:t>Enhanced disease prevention and vaccination programs: China has implemented robust disease prevention strategies, including comprehensive vaccination programs, which have significantly contributed to reducing infant and child mortality rates.</w:t>
      </w:r>
    </w:p>
    <w:p w14:paraId="43A6125F" w14:textId="77777777" w:rsidR="008D72CA" w:rsidRPr="008D72CA" w:rsidRDefault="008D72CA" w:rsidP="008D72CA">
      <w:pPr>
        <w:ind w:left="420"/>
        <w:rPr>
          <w:rFonts w:ascii="Times New Roman" w:hAnsi="Times New Roman" w:cs="Times New Roman"/>
          <w:sz w:val="22"/>
        </w:rPr>
      </w:pPr>
    </w:p>
    <w:p w14:paraId="0F33DC38" w14:textId="551BA3B9" w:rsidR="008D72CA" w:rsidRPr="008D72CA" w:rsidRDefault="008D72CA" w:rsidP="008D72CA">
      <w:pPr>
        <w:ind w:left="420"/>
        <w:rPr>
          <w:rFonts w:ascii="Times New Roman" w:hAnsi="Times New Roman" w:cs="Times New Roman" w:hint="eastAsia"/>
          <w:sz w:val="22"/>
        </w:rPr>
      </w:pPr>
      <w:r w:rsidRPr="008D72CA">
        <w:rPr>
          <w:rFonts w:ascii="Times New Roman" w:hAnsi="Times New Roman" w:cs="Times New Roman"/>
          <w:sz w:val="22"/>
        </w:rPr>
        <w:t>It’s important to note that this analysis is based on the data provided and does not capture all the complexities of China’s healthcare system. Factors such as socioeconomic disparities, regional variations, and changes in healthcare policies over time should also be considered for a comprehensive understanding of China’s healthcare development.</w:t>
      </w:r>
    </w:p>
    <w:sectPr w:rsidR="008D72CA" w:rsidRPr="008D72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9C"/>
    <w:rsid w:val="00362471"/>
    <w:rsid w:val="00421C26"/>
    <w:rsid w:val="0072769C"/>
    <w:rsid w:val="007546D0"/>
    <w:rsid w:val="007C6021"/>
    <w:rsid w:val="008D72CA"/>
    <w:rsid w:val="009F34F6"/>
    <w:rsid w:val="00B47D75"/>
    <w:rsid w:val="00BE2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2861"/>
  <w15:chartTrackingRefBased/>
  <w15:docId w15:val="{E2F754C3-C5F6-4D08-9814-004701E1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0674">
      <w:bodyDiv w:val="1"/>
      <w:marLeft w:val="0"/>
      <w:marRight w:val="0"/>
      <w:marTop w:val="0"/>
      <w:marBottom w:val="0"/>
      <w:divBdr>
        <w:top w:val="none" w:sz="0" w:space="0" w:color="auto"/>
        <w:left w:val="none" w:sz="0" w:space="0" w:color="auto"/>
        <w:bottom w:val="none" w:sz="0" w:space="0" w:color="auto"/>
        <w:right w:val="none" w:sz="0" w:space="0" w:color="auto"/>
      </w:divBdr>
    </w:div>
    <w:div w:id="11013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ecilia\Desktop\Under-five%20and%20maternal%20mortality%20rat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ecilia\Desktop\Under-five%20and%20maternal%20mortality%20rat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ecilia\Desktop\Under-five%20and%20maternal%20mortality%20rat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ecilia\Desktop\Under-five%20and%20maternal%20mortality%20rates.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Neonatal mortality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159938957832155"/>
          <c:y val="0.13910514541387026"/>
          <c:w val="0.82508960269602905"/>
          <c:h val="0.46622452394792935"/>
        </c:manualLayout>
      </c:layout>
      <c:lineChart>
        <c:grouping val="standard"/>
        <c:varyColors val="0"/>
        <c:ser>
          <c:idx val="0"/>
          <c:order val="0"/>
          <c:tx>
            <c:strRef>
              <c:f>'Under-five and maternal mortali'!$B$1</c:f>
              <c:strCache>
                <c:ptCount val="1"/>
                <c:pt idx="0">
                  <c:v>Neonatal mortality rate  (per thousand)</c:v>
                </c:pt>
              </c:strCache>
            </c:strRef>
          </c:tx>
          <c:spPr>
            <a:ln w="28575" cap="rnd">
              <a:solidFill>
                <a:schemeClr val="accent1"/>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mortali'!$B$2:$B$21</c:f>
              <c:numCache>
                <c:formatCode>General</c:formatCode>
                <c:ptCount val="20"/>
                <c:pt idx="0">
                  <c:v>3.1</c:v>
                </c:pt>
                <c:pt idx="1">
                  <c:v>3.1</c:v>
                </c:pt>
                <c:pt idx="2">
                  <c:v>3.4</c:v>
                </c:pt>
                <c:pt idx="3">
                  <c:v>3.5</c:v>
                </c:pt>
                <c:pt idx="4">
                  <c:v>3.9</c:v>
                </c:pt>
                <c:pt idx="5">
                  <c:v>4.4800000000000004</c:v>
                </c:pt>
                <c:pt idx="6">
                  <c:v>4.9000000000000004</c:v>
                </c:pt>
                <c:pt idx="7">
                  <c:v>5.4</c:v>
                </c:pt>
                <c:pt idx="8">
                  <c:v>5.9</c:v>
                </c:pt>
                <c:pt idx="9">
                  <c:v>6.3</c:v>
                </c:pt>
                <c:pt idx="10">
                  <c:v>6.9</c:v>
                </c:pt>
                <c:pt idx="11">
                  <c:v>7.8</c:v>
                </c:pt>
                <c:pt idx="12">
                  <c:v>8.3000000000000007</c:v>
                </c:pt>
                <c:pt idx="13">
                  <c:v>9</c:v>
                </c:pt>
                <c:pt idx="14">
                  <c:v>10.199999999999999</c:v>
                </c:pt>
                <c:pt idx="15">
                  <c:v>10.7</c:v>
                </c:pt>
                <c:pt idx="16">
                  <c:v>12</c:v>
                </c:pt>
                <c:pt idx="17">
                  <c:v>13.2</c:v>
                </c:pt>
                <c:pt idx="18">
                  <c:v>15.4</c:v>
                </c:pt>
                <c:pt idx="19">
                  <c:v>18</c:v>
                </c:pt>
              </c:numCache>
            </c:numRef>
          </c:val>
          <c:smooth val="0"/>
          <c:extLst>
            <c:ext xmlns:c16="http://schemas.microsoft.com/office/drawing/2014/chart" uri="{C3380CC4-5D6E-409C-BE32-E72D297353CC}">
              <c16:uniqueId val="{00000000-F16C-457A-A9F6-1A1AD78CE434}"/>
            </c:ext>
          </c:extLst>
        </c:ser>
        <c:ser>
          <c:idx val="1"/>
          <c:order val="1"/>
          <c:tx>
            <c:strRef>
              <c:f>'Under-five and maternal mortali'!$C$1</c:f>
              <c:strCache>
                <c:ptCount val="1"/>
                <c:pt idx="0">
                  <c:v>Urban neonatal mortality rate (per thousand)</c:v>
                </c:pt>
              </c:strCache>
            </c:strRef>
          </c:tx>
          <c:spPr>
            <a:ln w="28575" cap="rnd">
              <a:solidFill>
                <a:schemeClr val="accent2"/>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mortali'!$C$2:$C$21</c:f>
              <c:numCache>
                <c:formatCode>General</c:formatCode>
                <c:ptCount val="20"/>
                <c:pt idx="0">
                  <c:v>1.8</c:v>
                </c:pt>
                <c:pt idx="1">
                  <c:v>1.9</c:v>
                </c:pt>
                <c:pt idx="2">
                  <c:v>2.1</c:v>
                </c:pt>
                <c:pt idx="3">
                  <c:v>2</c:v>
                </c:pt>
                <c:pt idx="4">
                  <c:v>2.2000000000000002</c:v>
                </c:pt>
                <c:pt idx="5">
                  <c:v>2.65</c:v>
                </c:pt>
                <c:pt idx="6">
                  <c:v>2.9</c:v>
                </c:pt>
                <c:pt idx="7">
                  <c:v>3.3</c:v>
                </c:pt>
                <c:pt idx="8">
                  <c:v>3.5</c:v>
                </c:pt>
                <c:pt idx="9">
                  <c:v>3.7</c:v>
                </c:pt>
                <c:pt idx="10">
                  <c:v>3.9</c:v>
                </c:pt>
                <c:pt idx="11">
                  <c:v>4</c:v>
                </c:pt>
                <c:pt idx="12">
                  <c:v>4.0999999999999996</c:v>
                </c:pt>
                <c:pt idx="13">
                  <c:v>4.5</c:v>
                </c:pt>
                <c:pt idx="14">
                  <c:v>5</c:v>
                </c:pt>
                <c:pt idx="15">
                  <c:v>5.5</c:v>
                </c:pt>
                <c:pt idx="16">
                  <c:v>6.8</c:v>
                </c:pt>
                <c:pt idx="17">
                  <c:v>7.5</c:v>
                </c:pt>
                <c:pt idx="18">
                  <c:v>8.4</c:v>
                </c:pt>
                <c:pt idx="19">
                  <c:v>8.9</c:v>
                </c:pt>
              </c:numCache>
            </c:numRef>
          </c:val>
          <c:smooth val="0"/>
          <c:extLst>
            <c:ext xmlns:c16="http://schemas.microsoft.com/office/drawing/2014/chart" uri="{C3380CC4-5D6E-409C-BE32-E72D297353CC}">
              <c16:uniqueId val="{00000001-F16C-457A-A9F6-1A1AD78CE434}"/>
            </c:ext>
          </c:extLst>
        </c:ser>
        <c:ser>
          <c:idx val="2"/>
          <c:order val="2"/>
          <c:tx>
            <c:strRef>
              <c:f>'Under-five and maternal mortali'!$D$1</c:f>
              <c:strCache>
                <c:ptCount val="1"/>
                <c:pt idx="0">
                  <c:v>Rural neonatal mortality rate (per thousand)</c:v>
                </c:pt>
              </c:strCache>
            </c:strRef>
          </c:tx>
          <c:spPr>
            <a:ln w="28575" cap="rnd">
              <a:solidFill>
                <a:schemeClr val="accent3"/>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mortali'!$D$2:$D$21</c:f>
              <c:numCache>
                <c:formatCode>General</c:formatCode>
                <c:ptCount val="20"/>
                <c:pt idx="0">
                  <c:v>3.6</c:v>
                </c:pt>
                <c:pt idx="1">
                  <c:v>3.6</c:v>
                </c:pt>
                <c:pt idx="2">
                  <c:v>3.9</c:v>
                </c:pt>
                <c:pt idx="3">
                  <c:v>4.0999999999999996</c:v>
                </c:pt>
                <c:pt idx="4">
                  <c:v>4.7</c:v>
                </c:pt>
                <c:pt idx="5">
                  <c:v>5.3</c:v>
                </c:pt>
                <c:pt idx="6">
                  <c:v>5.7</c:v>
                </c:pt>
                <c:pt idx="7">
                  <c:v>6.4</c:v>
                </c:pt>
                <c:pt idx="8">
                  <c:v>6.9</c:v>
                </c:pt>
                <c:pt idx="9">
                  <c:v>7.3</c:v>
                </c:pt>
                <c:pt idx="10">
                  <c:v>8.1</c:v>
                </c:pt>
                <c:pt idx="11">
                  <c:v>9.4</c:v>
                </c:pt>
                <c:pt idx="12">
                  <c:v>10</c:v>
                </c:pt>
                <c:pt idx="13">
                  <c:v>10.8</c:v>
                </c:pt>
                <c:pt idx="14">
                  <c:v>12.3</c:v>
                </c:pt>
                <c:pt idx="15">
                  <c:v>12.8</c:v>
                </c:pt>
                <c:pt idx="16">
                  <c:v>13.4</c:v>
                </c:pt>
                <c:pt idx="17">
                  <c:v>14.7</c:v>
                </c:pt>
                <c:pt idx="18">
                  <c:v>17.3</c:v>
                </c:pt>
                <c:pt idx="19">
                  <c:v>20.100000000000001</c:v>
                </c:pt>
              </c:numCache>
            </c:numRef>
          </c:val>
          <c:smooth val="0"/>
          <c:extLst>
            <c:ext xmlns:c16="http://schemas.microsoft.com/office/drawing/2014/chart" uri="{C3380CC4-5D6E-409C-BE32-E72D297353CC}">
              <c16:uniqueId val="{00000002-F16C-457A-A9F6-1A1AD78CE434}"/>
            </c:ext>
          </c:extLst>
        </c:ser>
        <c:dLbls>
          <c:showLegendKey val="0"/>
          <c:showVal val="0"/>
          <c:showCatName val="0"/>
          <c:showSerName val="0"/>
          <c:showPercent val="0"/>
          <c:showBubbleSize val="0"/>
        </c:dLbls>
        <c:smooth val="0"/>
        <c:axId val="1992630096"/>
        <c:axId val="1992843392"/>
      </c:lineChart>
      <c:catAx>
        <c:axId val="1992630096"/>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layout>
            <c:manualLayout>
              <c:xMode val="edge"/>
              <c:yMode val="edge"/>
              <c:x val="0.49137821769587009"/>
              <c:y val="0.6987454420546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2843392"/>
        <c:crosses val="autoZero"/>
        <c:auto val="1"/>
        <c:lblAlgn val="ctr"/>
        <c:lblOffset val="100"/>
        <c:noMultiLvlLbl val="0"/>
      </c:catAx>
      <c:valAx>
        <c:axId val="199284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per thousand</a:t>
                </a:r>
                <a:endParaRPr lang="zh-CN" altLang="en-US"/>
              </a:p>
            </c:rich>
          </c:tx>
          <c:layout>
            <c:manualLayout>
              <c:xMode val="edge"/>
              <c:yMode val="edge"/>
              <c:x val="2.1534320323014805E-2"/>
              <c:y val="0.217138931459070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2630096"/>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Infant mortality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7539944619388516E-2"/>
          <c:y val="0.16730852928783593"/>
          <c:w val="0.84499129645293714"/>
          <c:h val="0.43737424472972775"/>
        </c:manualLayout>
      </c:layout>
      <c:lineChart>
        <c:grouping val="standard"/>
        <c:varyColors val="0"/>
        <c:ser>
          <c:idx val="0"/>
          <c:order val="0"/>
          <c:tx>
            <c:strRef>
              <c:f>'Under-five and maternal mortali'!$E$1</c:f>
              <c:strCache>
                <c:ptCount val="1"/>
                <c:pt idx="0">
                  <c:v>Infant mortality rate (per thousand)</c:v>
                </c:pt>
              </c:strCache>
            </c:strRef>
          </c:tx>
          <c:spPr>
            <a:ln w="28575" cap="rnd">
              <a:solidFill>
                <a:schemeClr val="accent1"/>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mortali'!$E$2:$E$21</c:f>
              <c:numCache>
                <c:formatCode>General</c:formatCode>
                <c:ptCount val="20"/>
                <c:pt idx="0">
                  <c:v>4.9000000000000004</c:v>
                </c:pt>
                <c:pt idx="1">
                  <c:v>5</c:v>
                </c:pt>
                <c:pt idx="2">
                  <c:v>5.4</c:v>
                </c:pt>
                <c:pt idx="3">
                  <c:v>5.6</c:v>
                </c:pt>
                <c:pt idx="4">
                  <c:v>6.1</c:v>
                </c:pt>
                <c:pt idx="5">
                  <c:v>6.77</c:v>
                </c:pt>
                <c:pt idx="6">
                  <c:v>7.5</c:v>
                </c:pt>
                <c:pt idx="7">
                  <c:v>8.1</c:v>
                </c:pt>
                <c:pt idx="8">
                  <c:v>8.9</c:v>
                </c:pt>
                <c:pt idx="9">
                  <c:v>9.5</c:v>
                </c:pt>
                <c:pt idx="10">
                  <c:v>10.3</c:v>
                </c:pt>
                <c:pt idx="11">
                  <c:v>12.1</c:v>
                </c:pt>
                <c:pt idx="12">
                  <c:v>13.1</c:v>
                </c:pt>
                <c:pt idx="13">
                  <c:v>13.8</c:v>
                </c:pt>
                <c:pt idx="14">
                  <c:v>14.9</c:v>
                </c:pt>
                <c:pt idx="15">
                  <c:v>15.3</c:v>
                </c:pt>
                <c:pt idx="16">
                  <c:v>17.2</c:v>
                </c:pt>
                <c:pt idx="17">
                  <c:v>19</c:v>
                </c:pt>
                <c:pt idx="18">
                  <c:v>21.5</c:v>
                </c:pt>
                <c:pt idx="19">
                  <c:v>25.5</c:v>
                </c:pt>
              </c:numCache>
            </c:numRef>
          </c:val>
          <c:smooth val="0"/>
          <c:extLst>
            <c:ext xmlns:c16="http://schemas.microsoft.com/office/drawing/2014/chart" uri="{C3380CC4-5D6E-409C-BE32-E72D297353CC}">
              <c16:uniqueId val="{00000000-7126-418F-A67C-6655F3A3D357}"/>
            </c:ext>
          </c:extLst>
        </c:ser>
        <c:ser>
          <c:idx val="1"/>
          <c:order val="1"/>
          <c:tx>
            <c:strRef>
              <c:f>'Under-five and maternal mortali'!$F$1</c:f>
              <c:strCache>
                <c:ptCount val="1"/>
                <c:pt idx="0">
                  <c:v>Urban infant mortality rate (per thousand)</c:v>
                </c:pt>
              </c:strCache>
            </c:strRef>
          </c:tx>
          <c:spPr>
            <a:ln w="28575" cap="rnd">
              <a:solidFill>
                <a:schemeClr val="accent2"/>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mortali'!$F$2:$F$21</c:f>
              <c:numCache>
                <c:formatCode>General</c:formatCode>
                <c:ptCount val="20"/>
                <c:pt idx="0">
                  <c:v>3.1</c:v>
                </c:pt>
                <c:pt idx="1">
                  <c:v>3.2</c:v>
                </c:pt>
                <c:pt idx="2">
                  <c:v>3.6</c:v>
                </c:pt>
                <c:pt idx="3">
                  <c:v>3.4</c:v>
                </c:pt>
                <c:pt idx="4">
                  <c:v>3.6</c:v>
                </c:pt>
                <c:pt idx="5">
                  <c:v>4.1500000000000004</c:v>
                </c:pt>
                <c:pt idx="6">
                  <c:v>4.2</c:v>
                </c:pt>
                <c:pt idx="7">
                  <c:v>4.7</c:v>
                </c:pt>
                <c:pt idx="8">
                  <c:v>4.8</c:v>
                </c:pt>
                <c:pt idx="9">
                  <c:v>5.2</c:v>
                </c:pt>
                <c:pt idx="10">
                  <c:v>5.2</c:v>
                </c:pt>
                <c:pt idx="11">
                  <c:v>5.8</c:v>
                </c:pt>
                <c:pt idx="12">
                  <c:v>5.8</c:v>
                </c:pt>
                <c:pt idx="13">
                  <c:v>6.2</c:v>
                </c:pt>
                <c:pt idx="14">
                  <c:v>6.5</c:v>
                </c:pt>
                <c:pt idx="15">
                  <c:v>7.7</c:v>
                </c:pt>
                <c:pt idx="16">
                  <c:v>8</c:v>
                </c:pt>
                <c:pt idx="17">
                  <c:v>9.1</c:v>
                </c:pt>
                <c:pt idx="18">
                  <c:v>10.1</c:v>
                </c:pt>
                <c:pt idx="19">
                  <c:v>11.3</c:v>
                </c:pt>
              </c:numCache>
            </c:numRef>
          </c:val>
          <c:smooth val="0"/>
          <c:extLst>
            <c:ext xmlns:c16="http://schemas.microsoft.com/office/drawing/2014/chart" uri="{C3380CC4-5D6E-409C-BE32-E72D297353CC}">
              <c16:uniqueId val="{00000001-7126-418F-A67C-6655F3A3D357}"/>
            </c:ext>
          </c:extLst>
        </c:ser>
        <c:ser>
          <c:idx val="2"/>
          <c:order val="2"/>
          <c:tx>
            <c:strRef>
              <c:f>'Under-five and maternal mortali'!$G$1</c:f>
              <c:strCache>
                <c:ptCount val="1"/>
                <c:pt idx="0">
                  <c:v>Rural infant mortality rate (per thousand)</c:v>
                </c:pt>
              </c:strCache>
            </c:strRef>
          </c:tx>
          <c:spPr>
            <a:ln w="28575" cap="rnd">
              <a:solidFill>
                <a:schemeClr val="accent3"/>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mortali'!$G$2:$G$21</c:f>
              <c:numCache>
                <c:formatCode>General</c:formatCode>
                <c:ptCount val="20"/>
                <c:pt idx="0">
                  <c:v>5.7</c:v>
                </c:pt>
                <c:pt idx="1">
                  <c:v>5.8</c:v>
                </c:pt>
                <c:pt idx="2">
                  <c:v>6.2</c:v>
                </c:pt>
                <c:pt idx="3">
                  <c:v>6.6</c:v>
                </c:pt>
                <c:pt idx="4">
                  <c:v>7.3</c:v>
                </c:pt>
                <c:pt idx="5">
                  <c:v>7.94</c:v>
                </c:pt>
                <c:pt idx="6">
                  <c:v>9</c:v>
                </c:pt>
                <c:pt idx="7">
                  <c:v>9.6</c:v>
                </c:pt>
                <c:pt idx="8">
                  <c:v>10.7</c:v>
                </c:pt>
                <c:pt idx="9">
                  <c:v>11.3</c:v>
                </c:pt>
                <c:pt idx="10">
                  <c:v>12.4</c:v>
                </c:pt>
                <c:pt idx="11">
                  <c:v>14.7</c:v>
                </c:pt>
                <c:pt idx="12">
                  <c:v>16.100000000000001</c:v>
                </c:pt>
                <c:pt idx="13">
                  <c:v>17</c:v>
                </c:pt>
                <c:pt idx="14">
                  <c:v>18.399999999999999</c:v>
                </c:pt>
                <c:pt idx="15">
                  <c:v>18.600000000000001</c:v>
                </c:pt>
                <c:pt idx="16">
                  <c:v>19.7</c:v>
                </c:pt>
                <c:pt idx="17">
                  <c:v>21.6</c:v>
                </c:pt>
                <c:pt idx="18">
                  <c:v>24.5</c:v>
                </c:pt>
                <c:pt idx="19">
                  <c:v>28.7</c:v>
                </c:pt>
              </c:numCache>
            </c:numRef>
          </c:val>
          <c:smooth val="0"/>
          <c:extLst>
            <c:ext xmlns:c16="http://schemas.microsoft.com/office/drawing/2014/chart" uri="{C3380CC4-5D6E-409C-BE32-E72D297353CC}">
              <c16:uniqueId val="{00000002-7126-418F-A67C-6655F3A3D357}"/>
            </c:ext>
          </c:extLst>
        </c:ser>
        <c:dLbls>
          <c:showLegendKey val="0"/>
          <c:showVal val="0"/>
          <c:showCatName val="0"/>
          <c:showSerName val="0"/>
          <c:showPercent val="0"/>
          <c:showBubbleSize val="0"/>
        </c:dLbls>
        <c:smooth val="0"/>
        <c:axId val="1646246976"/>
        <c:axId val="2045039504"/>
      </c:lineChart>
      <c:catAx>
        <c:axId val="1646246976"/>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layout>
            <c:manualLayout>
              <c:xMode val="edge"/>
              <c:yMode val="edge"/>
              <c:x val="0.48944313210848645"/>
              <c:y val="0.697544473607465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5039504"/>
        <c:crosses val="autoZero"/>
        <c:auto val="1"/>
        <c:lblAlgn val="ctr"/>
        <c:lblOffset val="100"/>
        <c:noMultiLvlLbl val="0"/>
      </c:catAx>
      <c:valAx>
        <c:axId val="204503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per thousand</a:t>
                </a:r>
                <a:endParaRPr lang="zh-CN" altLang="en-US"/>
              </a:p>
            </c:rich>
          </c:tx>
          <c:layout>
            <c:manualLayout>
              <c:xMode val="edge"/>
              <c:yMode val="edge"/>
              <c:x val="6.6560917140513765E-3"/>
              <c:y val="0.247428243458116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6246976"/>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Under-five mortality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669354615454585E-2"/>
          <c:y val="0.1331487184675316"/>
          <c:w val="0.8728716230913125"/>
          <c:h val="0.53626150329223732"/>
        </c:manualLayout>
      </c:layout>
      <c:lineChart>
        <c:grouping val="standard"/>
        <c:varyColors val="0"/>
        <c:ser>
          <c:idx val="0"/>
          <c:order val="0"/>
          <c:tx>
            <c:strRef>
              <c:f>'Under-five and maternal mortali'!$H$1</c:f>
              <c:strCache>
                <c:ptCount val="1"/>
                <c:pt idx="0">
                  <c:v>Under-five mortality rate (per thousand)</c:v>
                </c:pt>
              </c:strCache>
            </c:strRef>
          </c:tx>
          <c:spPr>
            <a:ln w="28575" cap="rnd">
              <a:solidFill>
                <a:schemeClr val="accent1"/>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mortali'!$H$2:$H$21</c:f>
              <c:numCache>
                <c:formatCode>General</c:formatCode>
                <c:ptCount val="20"/>
                <c:pt idx="0">
                  <c:v>6.8</c:v>
                </c:pt>
                <c:pt idx="1">
                  <c:v>7.1</c:v>
                </c:pt>
                <c:pt idx="2">
                  <c:v>7.5</c:v>
                </c:pt>
                <c:pt idx="3">
                  <c:v>7.8</c:v>
                </c:pt>
                <c:pt idx="4">
                  <c:v>8.4</c:v>
                </c:pt>
                <c:pt idx="5">
                  <c:v>9.0500000000000007</c:v>
                </c:pt>
                <c:pt idx="6">
                  <c:v>10.199999999999999</c:v>
                </c:pt>
                <c:pt idx="7">
                  <c:v>10.7</c:v>
                </c:pt>
                <c:pt idx="8">
                  <c:v>11.7</c:v>
                </c:pt>
                <c:pt idx="9">
                  <c:v>12</c:v>
                </c:pt>
                <c:pt idx="10">
                  <c:v>13.2</c:v>
                </c:pt>
                <c:pt idx="11">
                  <c:v>15.6</c:v>
                </c:pt>
                <c:pt idx="12">
                  <c:v>16.399999999999999</c:v>
                </c:pt>
                <c:pt idx="13">
                  <c:v>17.2</c:v>
                </c:pt>
                <c:pt idx="14">
                  <c:v>18.5</c:v>
                </c:pt>
                <c:pt idx="15">
                  <c:v>18.100000000000001</c:v>
                </c:pt>
                <c:pt idx="16">
                  <c:v>20.6</c:v>
                </c:pt>
                <c:pt idx="17">
                  <c:v>22.5</c:v>
                </c:pt>
                <c:pt idx="18">
                  <c:v>25</c:v>
                </c:pt>
                <c:pt idx="19">
                  <c:v>29.9</c:v>
                </c:pt>
              </c:numCache>
            </c:numRef>
          </c:val>
          <c:smooth val="0"/>
          <c:extLst>
            <c:ext xmlns:c16="http://schemas.microsoft.com/office/drawing/2014/chart" uri="{C3380CC4-5D6E-409C-BE32-E72D297353CC}">
              <c16:uniqueId val="{00000000-A819-4280-8F53-DAC132D4C6F3}"/>
            </c:ext>
          </c:extLst>
        </c:ser>
        <c:ser>
          <c:idx val="1"/>
          <c:order val="1"/>
          <c:tx>
            <c:strRef>
              <c:f>'Under-five and maternal mortali'!$I$1</c:f>
              <c:strCache>
                <c:ptCount val="1"/>
                <c:pt idx="0">
                  <c:v>Urban under-five mortality rate (per thousand)</c:v>
                </c:pt>
              </c:strCache>
            </c:strRef>
          </c:tx>
          <c:spPr>
            <a:ln w="28575" cap="rnd">
              <a:solidFill>
                <a:schemeClr val="accent2"/>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mortali'!$I$2:$I$21</c:f>
              <c:numCache>
                <c:formatCode>General</c:formatCode>
                <c:ptCount val="20"/>
                <c:pt idx="0">
                  <c:v>4.2</c:v>
                </c:pt>
                <c:pt idx="1">
                  <c:v>4.0999999999999996</c:v>
                </c:pt>
                <c:pt idx="2">
                  <c:v>4.4000000000000004</c:v>
                </c:pt>
                <c:pt idx="3">
                  <c:v>4.0999999999999996</c:v>
                </c:pt>
                <c:pt idx="4">
                  <c:v>4.4000000000000004</c:v>
                </c:pt>
                <c:pt idx="5">
                  <c:v>4.84</c:v>
                </c:pt>
                <c:pt idx="6">
                  <c:v>5.2</c:v>
                </c:pt>
                <c:pt idx="7">
                  <c:v>5.8</c:v>
                </c:pt>
                <c:pt idx="8">
                  <c:v>5.9</c:v>
                </c:pt>
                <c:pt idx="9">
                  <c:v>6</c:v>
                </c:pt>
                <c:pt idx="10">
                  <c:v>5.9</c:v>
                </c:pt>
                <c:pt idx="11">
                  <c:v>7.1</c:v>
                </c:pt>
                <c:pt idx="12">
                  <c:v>7.3</c:v>
                </c:pt>
                <c:pt idx="13">
                  <c:v>7.6</c:v>
                </c:pt>
                <c:pt idx="14">
                  <c:v>7.9</c:v>
                </c:pt>
                <c:pt idx="15">
                  <c:v>9</c:v>
                </c:pt>
                <c:pt idx="16">
                  <c:v>9.6</c:v>
                </c:pt>
                <c:pt idx="17">
                  <c:v>10.7</c:v>
                </c:pt>
                <c:pt idx="18">
                  <c:v>12</c:v>
                </c:pt>
                <c:pt idx="19">
                  <c:v>14.8</c:v>
                </c:pt>
              </c:numCache>
            </c:numRef>
          </c:val>
          <c:smooth val="0"/>
          <c:extLst>
            <c:ext xmlns:c16="http://schemas.microsoft.com/office/drawing/2014/chart" uri="{C3380CC4-5D6E-409C-BE32-E72D297353CC}">
              <c16:uniqueId val="{00000001-A819-4280-8F53-DAC132D4C6F3}"/>
            </c:ext>
          </c:extLst>
        </c:ser>
        <c:ser>
          <c:idx val="2"/>
          <c:order val="2"/>
          <c:tx>
            <c:strRef>
              <c:f>'Under-five and maternal mortali'!$J$1</c:f>
              <c:strCache>
                <c:ptCount val="1"/>
                <c:pt idx="0">
                  <c:v>Rural under-five mortality rate (per thousand)</c:v>
                </c:pt>
              </c:strCache>
            </c:strRef>
          </c:tx>
          <c:spPr>
            <a:ln w="28575" cap="rnd">
              <a:solidFill>
                <a:schemeClr val="accent3"/>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mortali'!$J$2:$J$21</c:f>
              <c:numCache>
                <c:formatCode>General</c:formatCode>
                <c:ptCount val="20"/>
                <c:pt idx="0">
                  <c:v>8</c:v>
                </c:pt>
                <c:pt idx="1">
                  <c:v>8.5</c:v>
                </c:pt>
                <c:pt idx="2">
                  <c:v>8.9</c:v>
                </c:pt>
                <c:pt idx="3">
                  <c:v>9.4</c:v>
                </c:pt>
                <c:pt idx="4">
                  <c:v>10.199999999999999</c:v>
                </c:pt>
                <c:pt idx="5">
                  <c:v>10.94</c:v>
                </c:pt>
                <c:pt idx="6">
                  <c:v>12.4</c:v>
                </c:pt>
                <c:pt idx="7">
                  <c:v>12.9</c:v>
                </c:pt>
                <c:pt idx="8">
                  <c:v>14.2</c:v>
                </c:pt>
                <c:pt idx="9">
                  <c:v>14.5</c:v>
                </c:pt>
                <c:pt idx="10">
                  <c:v>16.2</c:v>
                </c:pt>
                <c:pt idx="11">
                  <c:v>19.100000000000001</c:v>
                </c:pt>
                <c:pt idx="12">
                  <c:v>20.100000000000001</c:v>
                </c:pt>
                <c:pt idx="13">
                  <c:v>21.1</c:v>
                </c:pt>
                <c:pt idx="14">
                  <c:v>22.7</c:v>
                </c:pt>
                <c:pt idx="15">
                  <c:v>21.8</c:v>
                </c:pt>
                <c:pt idx="16">
                  <c:v>23.6</c:v>
                </c:pt>
                <c:pt idx="17">
                  <c:v>25.7</c:v>
                </c:pt>
                <c:pt idx="18">
                  <c:v>28.5</c:v>
                </c:pt>
                <c:pt idx="19">
                  <c:v>33.4</c:v>
                </c:pt>
              </c:numCache>
            </c:numRef>
          </c:val>
          <c:smooth val="0"/>
          <c:extLst>
            <c:ext xmlns:c16="http://schemas.microsoft.com/office/drawing/2014/chart" uri="{C3380CC4-5D6E-409C-BE32-E72D297353CC}">
              <c16:uniqueId val="{00000002-A819-4280-8F53-DAC132D4C6F3}"/>
            </c:ext>
          </c:extLst>
        </c:ser>
        <c:dLbls>
          <c:showLegendKey val="0"/>
          <c:showVal val="0"/>
          <c:showCatName val="0"/>
          <c:showSerName val="0"/>
          <c:showPercent val="0"/>
          <c:showBubbleSize val="0"/>
        </c:dLbls>
        <c:smooth val="0"/>
        <c:axId val="2055970192"/>
        <c:axId val="1978819136"/>
      </c:lineChart>
      <c:catAx>
        <c:axId val="2055970192"/>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layout>
            <c:manualLayout>
              <c:xMode val="edge"/>
              <c:yMode val="edge"/>
              <c:x val="0.500465656180201"/>
              <c:y val="0.763088829849920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8819136"/>
        <c:crosses val="autoZero"/>
        <c:auto val="1"/>
        <c:lblAlgn val="ctr"/>
        <c:lblOffset val="100"/>
        <c:noMultiLvlLbl val="0"/>
      </c:catAx>
      <c:valAx>
        <c:axId val="197881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per thousand</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5970192"/>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Maternal mortality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521289033456421"/>
          <c:y val="0.13347452484076847"/>
          <c:w val="0.83649930547457874"/>
          <c:h val="0.54839452499520258"/>
        </c:manualLayout>
      </c:layout>
      <c:lineChart>
        <c:grouping val="standard"/>
        <c:varyColors val="0"/>
        <c:ser>
          <c:idx val="0"/>
          <c:order val="0"/>
          <c:tx>
            <c:strRef>
              <c:f>'Under-five and maternal mortali'!$K$1</c:f>
              <c:strCache>
                <c:ptCount val="1"/>
                <c:pt idx="0">
                  <c:v>Maternal mortality rate (1 / 100,000)</c:v>
                </c:pt>
              </c:strCache>
            </c:strRef>
          </c:tx>
          <c:spPr>
            <a:ln w="28575" cap="rnd">
              <a:solidFill>
                <a:schemeClr val="accent1"/>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mortali'!$K$2:$K$21</c:f>
              <c:numCache>
                <c:formatCode>General</c:formatCode>
                <c:ptCount val="20"/>
                <c:pt idx="0">
                  <c:v>15.7</c:v>
                </c:pt>
                <c:pt idx="1">
                  <c:v>16.100000000000001</c:v>
                </c:pt>
                <c:pt idx="2">
                  <c:v>16.899999999999999</c:v>
                </c:pt>
                <c:pt idx="3">
                  <c:v>17.8</c:v>
                </c:pt>
                <c:pt idx="4">
                  <c:v>18.3</c:v>
                </c:pt>
                <c:pt idx="5">
                  <c:v>19.600000000000001</c:v>
                </c:pt>
                <c:pt idx="6">
                  <c:v>19.899999999999999</c:v>
                </c:pt>
                <c:pt idx="7">
                  <c:v>20.100000000000001</c:v>
                </c:pt>
                <c:pt idx="8">
                  <c:v>21.7</c:v>
                </c:pt>
                <c:pt idx="9">
                  <c:v>23.2</c:v>
                </c:pt>
                <c:pt idx="10">
                  <c:v>24.5</c:v>
                </c:pt>
                <c:pt idx="11">
                  <c:v>26.1</c:v>
                </c:pt>
                <c:pt idx="12">
                  <c:v>30</c:v>
                </c:pt>
                <c:pt idx="13">
                  <c:v>31.9</c:v>
                </c:pt>
                <c:pt idx="14">
                  <c:v>34.200000000000003</c:v>
                </c:pt>
                <c:pt idx="15">
                  <c:v>36.6</c:v>
                </c:pt>
                <c:pt idx="16">
                  <c:v>41.1</c:v>
                </c:pt>
                <c:pt idx="17">
                  <c:v>47.7</c:v>
                </c:pt>
                <c:pt idx="18">
                  <c:v>48.3</c:v>
                </c:pt>
                <c:pt idx="19">
                  <c:v>51.3</c:v>
                </c:pt>
              </c:numCache>
            </c:numRef>
          </c:val>
          <c:smooth val="0"/>
          <c:extLst>
            <c:ext xmlns:c16="http://schemas.microsoft.com/office/drawing/2014/chart" uri="{C3380CC4-5D6E-409C-BE32-E72D297353CC}">
              <c16:uniqueId val="{00000000-3708-4C7A-B6B8-F7F195612EF2}"/>
            </c:ext>
          </c:extLst>
        </c:ser>
        <c:ser>
          <c:idx val="1"/>
          <c:order val="1"/>
          <c:tx>
            <c:strRef>
              <c:f>'Under-five and maternal mortali'!$L$1</c:f>
              <c:strCache>
                <c:ptCount val="1"/>
                <c:pt idx="0">
                  <c:v>Urban maternal mortality rate (1/100,000)</c:v>
                </c:pt>
              </c:strCache>
            </c:strRef>
          </c:tx>
          <c:spPr>
            <a:ln w="28575" cap="rnd">
              <a:solidFill>
                <a:schemeClr val="accent2"/>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mortali'!$L$2:$L$21</c:f>
              <c:numCache>
                <c:formatCode>General</c:formatCode>
                <c:ptCount val="20"/>
                <c:pt idx="0">
                  <c:v>14.3</c:v>
                </c:pt>
                <c:pt idx="1">
                  <c:v>15.4</c:v>
                </c:pt>
                <c:pt idx="2">
                  <c:v>14.1</c:v>
                </c:pt>
                <c:pt idx="3">
                  <c:v>16.5</c:v>
                </c:pt>
                <c:pt idx="4">
                  <c:v>15.5</c:v>
                </c:pt>
                <c:pt idx="5">
                  <c:v>16.600000000000001</c:v>
                </c:pt>
                <c:pt idx="6">
                  <c:v>19.5</c:v>
                </c:pt>
                <c:pt idx="7">
                  <c:v>19.8</c:v>
                </c:pt>
                <c:pt idx="8">
                  <c:v>20.5</c:v>
                </c:pt>
                <c:pt idx="9">
                  <c:v>22.4</c:v>
                </c:pt>
                <c:pt idx="10">
                  <c:v>22.2</c:v>
                </c:pt>
                <c:pt idx="11">
                  <c:v>25.2</c:v>
                </c:pt>
                <c:pt idx="12">
                  <c:v>29.7</c:v>
                </c:pt>
                <c:pt idx="13">
                  <c:v>26.6</c:v>
                </c:pt>
                <c:pt idx="14">
                  <c:v>29.2</c:v>
                </c:pt>
                <c:pt idx="15">
                  <c:v>25.2</c:v>
                </c:pt>
                <c:pt idx="16">
                  <c:v>24.8</c:v>
                </c:pt>
                <c:pt idx="17">
                  <c:v>25</c:v>
                </c:pt>
                <c:pt idx="18">
                  <c:v>26.1</c:v>
                </c:pt>
                <c:pt idx="19">
                  <c:v>27.6</c:v>
                </c:pt>
              </c:numCache>
            </c:numRef>
          </c:val>
          <c:smooth val="0"/>
          <c:extLst>
            <c:ext xmlns:c16="http://schemas.microsoft.com/office/drawing/2014/chart" uri="{C3380CC4-5D6E-409C-BE32-E72D297353CC}">
              <c16:uniqueId val="{00000001-3708-4C7A-B6B8-F7F195612EF2}"/>
            </c:ext>
          </c:extLst>
        </c:ser>
        <c:ser>
          <c:idx val="2"/>
          <c:order val="2"/>
          <c:tx>
            <c:strRef>
              <c:f>'Under-five and maternal mortali'!$M$1</c:f>
              <c:strCache>
                <c:ptCount val="1"/>
                <c:pt idx="0">
                  <c:v>Maternal mortality rate in rural areas (1/100,000)</c:v>
                </c:pt>
              </c:strCache>
            </c:strRef>
          </c:tx>
          <c:spPr>
            <a:ln w="28575" cap="rnd">
              <a:solidFill>
                <a:schemeClr val="accent3"/>
              </a:solidFill>
              <a:round/>
            </a:ln>
            <a:effectLst/>
          </c:spPr>
          <c:marker>
            <c:symbol val="none"/>
          </c:marker>
          <c:cat>
            <c:numRef>
              <c:f>'Under-five and maternal mortali'!$A$2:$A$21</c:f>
              <c:numCache>
                <c:formatCode>General</c:formatCode>
                <c:ptCount val="20"/>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numCache>
            </c:numRef>
          </c:cat>
          <c:val>
            <c:numRef>
              <c:f>'Under-five and maternal mortali'!$M$2:$M$21</c:f>
              <c:numCache>
                <c:formatCode>General</c:formatCode>
                <c:ptCount val="20"/>
                <c:pt idx="0">
                  <c:v>16.600000000000001</c:v>
                </c:pt>
                <c:pt idx="1">
                  <c:v>16.5</c:v>
                </c:pt>
                <c:pt idx="2">
                  <c:v>18.5</c:v>
                </c:pt>
                <c:pt idx="3">
                  <c:v>18.600000000000001</c:v>
                </c:pt>
                <c:pt idx="4">
                  <c:v>19.899999999999999</c:v>
                </c:pt>
                <c:pt idx="5">
                  <c:v>21.1</c:v>
                </c:pt>
                <c:pt idx="6">
                  <c:v>20</c:v>
                </c:pt>
                <c:pt idx="7">
                  <c:v>20.2</c:v>
                </c:pt>
                <c:pt idx="8">
                  <c:v>22.2</c:v>
                </c:pt>
                <c:pt idx="9">
                  <c:v>23.6</c:v>
                </c:pt>
                <c:pt idx="10">
                  <c:v>25.6</c:v>
                </c:pt>
                <c:pt idx="11">
                  <c:v>26.5</c:v>
                </c:pt>
                <c:pt idx="12">
                  <c:v>30.1</c:v>
                </c:pt>
                <c:pt idx="13">
                  <c:v>34</c:v>
                </c:pt>
                <c:pt idx="14">
                  <c:v>36.1</c:v>
                </c:pt>
                <c:pt idx="15">
                  <c:v>41.3</c:v>
                </c:pt>
                <c:pt idx="16">
                  <c:v>45.5</c:v>
                </c:pt>
                <c:pt idx="17">
                  <c:v>53.8</c:v>
                </c:pt>
                <c:pt idx="18">
                  <c:v>63</c:v>
                </c:pt>
                <c:pt idx="19">
                  <c:v>65.400000000000006</c:v>
                </c:pt>
              </c:numCache>
            </c:numRef>
          </c:val>
          <c:smooth val="0"/>
          <c:extLst>
            <c:ext xmlns:c16="http://schemas.microsoft.com/office/drawing/2014/chart" uri="{C3380CC4-5D6E-409C-BE32-E72D297353CC}">
              <c16:uniqueId val="{00000002-3708-4C7A-B6B8-F7F195612EF2}"/>
            </c:ext>
          </c:extLst>
        </c:ser>
        <c:dLbls>
          <c:showLegendKey val="0"/>
          <c:showVal val="0"/>
          <c:showCatName val="0"/>
          <c:showSerName val="0"/>
          <c:showPercent val="0"/>
          <c:showBubbleSize val="0"/>
        </c:dLbls>
        <c:smooth val="0"/>
        <c:axId val="1896553696"/>
        <c:axId val="2121841168"/>
      </c:lineChart>
      <c:catAx>
        <c:axId val="1896553696"/>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layout>
            <c:manualLayout>
              <c:xMode val="edge"/>
              <c:yMode val="edge"/>
              <c:x val="0.45422196656762032"/>
              <c:y val="0.76475295711874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1841168"/>
        <c:crosses val="autoZero"/>
        <c:auto val="1"/>
        <c:lblAlgn val="ctr"/>
        <c:lblOffset val="100"/>
        <c:noMultiLvlLbl val="0"/>
      </c:catAx>
      <c:valAx>
        <c:axId val="212184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1 / 100,000</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6553696"/>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Chinatmx@hotmail.com</dc:creator>
  <cp:keywords/>
  <dc:description/>
  <cp:lastModifiedBy>Chinatmx@hotmail.com</cp:lastModifiedBy>
  <cp:revision>2</cp:revision>
  <dcterms:created xsi:type="dcterms:W3CDTF">2024-01-05T08:52:00Z</dcterms:created>
  <dcterms:modified xsi:type="dcterms:W3CDTF">2024-01-05T10:41:00Z</dcterms:modified>
</cp:coreProperties>
</file>