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16838" w:hRule="exact"/>
        </w:trPr>
        <w:tc>
          <w:tcPr>
            <w:tcW w:type="pct" w:w="100%"/>
            <w:tcBorders>
              <w:top w:val="none" w:color="FFFFFF" w:sz="0"/>
              <w:left w:val="none" w:color="FFFFFF" w:sz="0"/>
              <w:bottom w:val="none" w:color="FFFFFF" w:sz="0"/>
              <w:right w:val="none" w:color="FFFFFF" w:sz="0"/>
            </w:tcBorders>
            <w:shd w:fill="0B1C2C" w:val="clear"/>
            <w:tcMar>
              <w:top w:type="dxa" w:w="2000"/>
              <w:left w:type="dxa" w:w="1800"/>
              <w:bottom w:type="dxa" w:w="1000"/>
              <w:right w:type="dxa" w:w="1800"/>
            </w:tcMar>
            <w:vAlign w:val="top"/>
          </w:tcPr>
          <w:p>
            <w:pPr>
              <w:spacing w:before="4800"/>
            </w:pPr>
          </w:p>
          <w:p>
            <w:pPr>
              <w:pBdr>
                <w:bottom w:val="single" w:color="529286" w:sz="6" w:space="10"/>
              </w:pBdr>
              <w:spacing w:after="400"/>
            </w:pPr>
          </w:p>
          <w:p>
            <w:pPr>
              <w:spacing w:after="80" w:line="920" w:lineRule="atLeast"/>
            </w:pPr>
            <w:r>
              <w:rPr>
                <w:rFonts w:ascii="Calibri" w:eastAsia="Microsoft YaHei"/>
                <w:b/>
                <w:bCs/>
                <w:color w:val="FFFFFF"/>
                <w:sz w:val="80"/>
                <w:szCs w:val="80"/>
              </w:rPr>
              <w:t xml:space="preserve">Relatório</w:t>
            </w:r>
          </w:p>
          <w:p>
            <w:pPr>
              <w:spacing w:after="80" w:line="920" w:lineRule="atLeast"/>
            </w:pPr>
            <w:r>
              <w:rPr>
                <w:rFonts w:ascii="Calibri" w:eastAsia="Microsoft YaHei"/>
                <w:b/>
                <w:bCs/>
                <w:color w:val="FFFFFF"/>
                <w:sz w:val="80"/>
                <w:szCs w:val="80"/>
              </w:rPr>
              <w:t xml:space="preserve">de Análise</w:t>
            </w:r>
          </w:p>
          <w:p>
            <w:pPr>
              <w:spacing w:after="80" w:line="920" w:lineRule="atLeast"/>
            </w:pPr>
            <w:r>
              <w:rPr>
                <w:rFonts w:ascii="Calibri" w:eastAsia="Microsoft YaHei"/>
                <w:b/>
                <w:bCs/>
                <w:color w:val="FFFFFF"/>
                <w:sz w:val="80"/>
                <w:szCs w:val="80"/>
              </w:rPr>
              <w:t xml:space="preserve">do SCNT</w:t>
            </w:r>
          </w:p>
          <w:p>
            <w:pPr>
              <w:spacing w:before="300" w:line="360" w:lineRule="atLeast"/>
            </w:pPr>
            <w:r>
              <w:rPr>
                <w:rFonts w:ascii="Calibri" w:eastAsia="Microsoft YaHei"/>
                <w:color w:val="B0B8C0"/>
                <w:sz w:val="24"/>
                <w:szCs w:val="24"/>
              </w:rPr>
              <w:t xml:space="preserve">Sistema de Contas Nacionais Trimestrais — IBGE</w:t>
            </w:r>
          </w:p>
          <w:p>
            <w:pPr>
              <w:spacing w:before="1149"/>
            </w:pPr>
          </w:p>
          <w:p>
            <w:pPr>
              <w:spacing w:after="60" w:line="312"/>
            </w:pPr>
            <w:r>
              <w:rPr>
                <w:rFonts w:ascii="Calibri" w:eastAsia="Microsoft YaHei"/>
                <w:color w:val="90989F"/>
                <w:sz w:val="22"/>
                <w:szCs w:val="22"/>
              </w:rPr>
              <w:t xml:space="preserve">Março de 2025</w:t>
            </w:r>
          </w:p>
          <w:p>
            <w:pPr>
              <w:spacing w:after="60" w:line="312"/>
            </w:pPr>
            <w:r>
              <w:rPr>
                <w:rFonts w:ascii="Calibri" w:eastAsia="Microsoft YaHei"/>
                <w:color w:val="90989F"/>
                <w:sz w:val="22"/>
                <w:szCs w:val="22"/>
              </w:rPr>
              <w:t xml:space="preserve">Instituto Brasileiro de Geografia e Estatística (IBGE)</w:t>
            </w:r>
          </w:p>
          <w:p>
            <w:pPr>
              <w:spacing w:before="1724"/>
            </w:pPr>
          </w:p>
          <w:p>
            <w:pPr>
              <w:pBdr>
                <w:top w:val="single" w:color="529286" w:sz="2" w:space="8"/>
              </w:pBdr>
              <w:spacing w:after="0" w:before="200"/>
            </w:pPr>
            <w:r>
              <w:rPr>
                <w:rFonts w:ascii="Calibri" w:eastAsia="Microsoft YaHei"/>
                <w:color w:val="687078"/>
                <w:sz w:val="18"/>
                <w:szCs w:val="18"/>
              </w:rPr>
              <w:t xml:space="preserve">Análise Trimestral • Dados Atualizados até Q4 2024</w:t>
            </w:r>
          </w:p>
        </w:tc>
      </w:tr>
    </w:tbl>
    <w:p>
      <w:pPr>
        <w:sectPr>
          <w:pgSz w:w="11906" w:h="16838" w:orient="portrait"/>
          <w:pgMar w:top="0" w:right="0" w:bottom="0" w:left="0" w:header="708" w:footer="708" w:gutter="0"/>
          <w:pgNumType/>
          <w:docGrid w:linePitch="360"/>
        </w:sectPr>
      </w:pPr>
    </w:p>
    <w:p>
      <w:pPr>
        <w:spacing w:after="360" w:before="480"/>
        <w:jc w:val="center"/>
      </w:pPr>
      <w:r>
        <w:rPr>
          <w:rFonts w:ascii="Calibri" w:eastAsia="SimHei"/>
          <w:b/>
          <w:bCs/>
          <w:color w:val="0B1C2C"/>
          <w:sz w:val="32"/>
          <w:szCs w:val="32"/>
        </w:rPr>
        <w:t xml:space="preserve">Sumário</w:t>
      </w:r>
    </w:p>
    <w:sdt>
      <w:sdtPr>
        <w:alias w:val="Sumário"/>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Sumário Executivo</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Introdução e Contexto</w:t>
            </w:r>
            <w:r>
              <w:tab/>
            </w:r>
            <w:r>
              <w:fldChar w:fldCharType="begin"/>
            </w:r>
            <w:r>
              <w:instrText xml:space="preserve"> PAGEREF _Toc100001 \h </w:instrText>
            </w:r>
            <w:r>
              <w:fldChar w:fldCharType="separate"/>
            </w:r>
            <w:r>
              <w:t>2</w:t>
            </w:r>
            <w:r>
              <w:fldChar w:fldCharType="end"/>
            </w:r>
          </w:hyperlink>
        </w:p>
        <w:p>
          <w:pPr>
            <w:pStyle w:val="9"/>
            <w:tabs>
              <w:tab w:val="right" w:leader="dot" w:pos="9026"/>
            </w:tabs>
            <w:spacing w:before="120" w:after="60"/>
          </w:pPr>
          <w:hyperlink w:anchor="_Toc100002" w:history="1">
            <w:r>
              <w:rPr>
                <w:rStyle w:val="Hyperlink"/>
              </w:rPr>
              <w:t>Fonte de Dados e Metodologia</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Fontes de Dados</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Metodologia de Análise</w:t>
            </w:r>
            <w:r>
              <w:tab/>
            </w:r>
            <w:r>
              <w:fldChar w:fldCharType="begin"/>
            </w:r>
            <w:r>
              <w:instrText xml:space="preserve"> PAGEREF _Toc100004 \h </w:instrText>
            </w:r>
            <w:r>
              <w:fldChar w:fldCharType="separate"/>
            </w:r>
            <w:r>
              <w:t>3</w:t>
            </w:r>
            <w:r>
              <w:fldChar w:fldCharType="end"/>
            </w:r>
          </w:hyperlink>
        </w:p>
        <w:p>
          <w:pPr>
            <w:pStyle w:val="9"/>
            <w:tabs>
              <w:tab w:val="right" w:leader="dot" w:pos="9026"/>
            </w:tabs>
            <w:spacing w:before="120" w:after="60"/>
          </w:pPr>
          <w:hyperlink w:anchor="_Toc100005" w:history="1">
            <w:r>
              <w:rPr>
                <w:rStyle w:val="Hyperlink"/>
              </w:rPr>
              <w:t>Análise do PIB Trimestral</w:t>
            </w:r>
            <w:r>
              <w:tab/>
            </w:r>
            <w:r>
              <w:fldChar w:fldCharType="begin"/>
            </w:r>
            <w:r>
              <w:instrText xml:space="preserve"> PAGEREF _Toc100005 \h </w:instrText>
            </w:r>
            <w:r>
              <w:fldChar w:fldCharType="separate"/>
            </w:r>
            <w:r>
              <w:t>3</w:t>
            </w:r>
            <w:r>
              <w:fldChar w:fldCharType="end"/>
            </w:r>
          </w:hyperlink>
        </w:p>
        <w:p>
          <w:pPr>
            <w:pStyle w:val="11"/>
            <w:ind w:left="360"/>
            <w:tabs>
              <w:tab w:val="right" w:leader="dot" w:pos="9026"/>
            </w:tabs>
            <w:spacing w:before="120" w:after="60"/>
          </w:pPr>
          <w:hyperlink w:anchor="_Toc100006" w:history="1">
            <w:r>
              <w:rPr>
                <w:rStyle w:val="Hyperlink"/>
              </w:rPr>
              <w:t>Evolução do Índice do PIB (2020–2024)</w:t>
            </w:r>
            <w:r>
              <w:tab/>
            </w:r>
            <w:r>
              <w:fldChar w:fldCharType="begin"/>
            </w:r>
            <w:r>
              <w:instrText xml:space="preserve"> PAGEREF _Toc100006 \h </w:instrText>
            </w:r>
            <w:r>
              <w:fldChar w:fldCharType="separate"/>
            </w:r>
            <w:r>
              <w:t>3</w:t>
            </w:r>
            <w:r>
              <w:fldChar w:fldCharType="end"/>
            </w:r>
          </w:hyperlink>
        </w:p>
        <w:p>
          <w:pPr>
            <w:pStyle w:val="11"/>
            <w:ind w:left="360"/>
            <w:tabs>
              <w:tab w:val="right" w:leader="dot" w:pos="9026"/>
            </w:tabs>
            <w:spacing w:before="120" w:after="60"/>
          </w:pPr>
          <w:hyperlink w:anchor="_Toc100007" w:history="1">
            <w:r>
              <w:rPr>
                <w:rStyle w:val="Hyperlink"/>
              </w:rPr>
              <w:t>Dados Trimestrais do PIB</w:t>
            </w:r>
            <w:r>
              <w:tab/>
            </w:r>
            <w:r>
              <w:fldChar w:fldCharType="begin"/>
            </w:r>
            <w:r>
              <w:instrText xml:space="preserve"> PAGEREF _Toc100007 \h </w:instrText>
            </w:r>
            <w:r>
              <w:fldChar w:fldCharType="separate"/>
            </w:r>
            <w:r>
              <w:t>3</w:t>
            </w:r>
            <w:r>
              <w:fldChar w:fldCharType="end"/>
            </w:r>
          </w:hyperlink>
        </w:p>
        <w:p>
          <w:pPr>
            <w:pStyle w:val="11"/>
            <w:ind w:left="360"/>
            <w:tabs>
              <w:tab w:val="right" w:leader="dot" w:pos="9026"/>
            </w:tabs>
            <w:spacing w:before="120" w:after="60"/>
          </w:pPr>
          <w:hyperlink w:anchor="_Toc100008" w:history="1">
            <w:r>
              <w:rPr>
                <w:rStyle w:val="Hyperlink"/>
              </w:rPr>
              <w:t>Tendência Recente</w:t>
            </w:r>
            <w:r>
              <w:tab/>
            </w:r>
            <w:r>
              <w:fldChar w:fldCharType="begin"/>
            </w:r>
            <w:r>
              <w:instrText xml:space="preserve"> PAGEREF _Toc100008 \h </w:instrText>
            </w:r>
            <w:r>
              <w:fldChar w:fldCharType="separate"/>
            </w:r>
            <w:r>
              <w:t>4</w:t>
            </w:r>
            <w:r>
              <w:fldChar w:fldCharType="end"/>
            </w:r>
          </w:hyperlink>
        </w:p>
        <w:p>
          <w:pPr>
            <w:pStyle w:val="9"/>
            <w:tabs>
              <w:tab w:val="right" w:leader="dot" w:pos="9026"/>
            </w:tabs>
            <w:spacing w:before="120" w:after="60"/>
          </w:pPr>
          <w:hyperlink w:anchor="_Toc100009" w:history="1">
            <w:r>
              <w:rPr>
                <w:rStyle w:val="Hyperlink"/>
              </w:rPr>
              <w:t>Análise Setorial</w:t>
            </w:r>
            <w:r>
              <w:tab/>
            </w:r>
            <w:r>
              <w:fldChar w:fldCharType="begin"/>
            </w:r>
            <w:r>
              <w:instrText xml:space="preserve"> PAGEREF _Toc100009 \h </w:instrText>
            </w:r>
            <w:r>
              <w:fldChar w:fldCharType="separate"/>
            </w:r>
            <w:r>
              <w:t>4</w:t>
            </w:r>
            <w:r>
              <w:fldChar w:fldCharType="end"/>
            </w:r>
          </w:hyperlink>
        </w:p>
        <w:p>
          <w:pPr>
            <w:pStyle w:val="11"/>
            <w:ind w:left="360"/>
            <w:tabs>
              <w:tab w:val="right" w:leader="dot" w:pos="9026"/>
            </w:tabs>
            <w:spacing w:before="120" w:after="60"/>
          </w:pPr>
          <w:hyperlink w:anchor="_Toc100010" w:history="1">
            <w:r>
              <w:rPr>
                <w:rStyle w:val="Hyperlink"/>
              </w:rPr>
              <w:t>Composição Setorial do PIB</w:t>
            </w:r>
            <w:r>
              <w:tab/>
            </w:r>
            <w:r>
              <w:fldChar w:fldCharType="begin"/>
            </w:r>
            <w:r>
              <w:instrText xml:space="preserve"> PAGEREF _Toc100010 \h </w:instrText>
            </w:r>
            <w:r>
              <w:fldChar w:fldCharType="separate"/>
            </w:r>
            <w:r>
              <w:t>4</w:t>
            </w:r>
            <w:r>
              <w:fldChar w:fldCharType="end"/>
            </w:r>
          </w:hyperlink>
        </w:p>
        <w:p>
          <w:pPr>
            <w:pStyle w:val="11"/>
            <w:ind w:left="360"/>
            <w:tabs>
              <w:tab w:val="right" w:leader="dot" w:pos="9026"/>
            </w:tabs>
            <w:spacing w:before="120" w:after="60"/>
          </w:pPr>
          <w:hyperlink w:anchor="_Toc100011" w:history="1">
            <w:r>
              <w:rPr>
                <w:rStyle w:val="Hyperlink"/>
              </w:rPr>
              <w:t>Dinâmica da Indústria e Agropecuária</w:t>
            </w:r>
            <w:r>
              <w:tab/>
            </w:r>
            <w:r>
              <w:fldChar w:fldCharType="begin"/>
            </w:r>
            <w:r>
              <w:instrText xml:space="preserve"> PAGEREF _Toc100011 \h </w:instrText>
            </w:r>
            <w:r>
              <w:fldChar w:fldCharType="separate"/>
            </w:r>
            <w:r>
              <w:t>5</w:t>
            </w:r>
            <w:r>
              <w:fldChar w:fldCharType="end"/>
            </w:r>
          </w:hyperlink>
        </w:p>
        <w:p>
          <w:pPr>
            <w:pStyle w:val="9"/>
            <w:tabs>
              <w:tab w:val="right" w:leader="dot" w:pos="9026"/>
            </w:tabs>
            <w:spacing w:before="120" w:after="60"/>
          </w:pPr>
          <w:hyperlink w:anchor="_Toc100012" w:history="1">
            <w:r>
              <w:rPr>
                <w:rStyle w:val="Hyperlink"/>
              </w:rPr>
              <w:t>Componentes da Despesa</w:t>
            </w:r>
            <w:r>
              <w:tab/>
            </w:r>
            <w:r>
              <w:fldChar w:fldCharType="begin"/>
            </w:r>
            <w:r>
              <w:instrText xml:space="preserve"> PAGEREF _Toc100012 \h </w:instrText>
            </w:r>
            <w:r>
              <w:fldChar w:fldCharType="separate"/>
            </w:r>
            <w:r>
              <w:t>5</w:t>
            </w:r>
            <w:r>
              <w:fldChar w:fldCharType="end"/>
            </w:r>
          </w:hyperlink>
        </w:p>
        <w:p>
          <w:pPr>
            <w:pStyle w:val="11"/>
            <w:ind w:left="360"/>
            <w:tabs>
              <w:tab w:val="right" w:leader="dot" w:pos="9026"/>
            </w:tabs>
            <w:spacing w:before="120" w:after="60"/>
          </w:pPr>
          <w:hyperlink w:anchor="_Toc100013" w:history="1">
            <w:r>
              <w:rPr>
                <w:rStyle w:val="Hyperlink"/>
              </w:rPr>
              <w:t>Consumo das Famílias</w:t>
            </w:r>
            <w:r>
              <w:tab/>
            </w:r>
            <w:r>
              <w:fldChar w:fldCharType="begin"/>
            </w:r>
            <w:r>
              <w:instrText xml:space="preserve"> PAGEREF _Toc100013 \h </w:instrText>
            </w:r>
            <w:r>
              <w:fldChar w:fldCharType="separate"/>
            </w:r>
            <w:r>
              <w:t>5</w:t>
            </w:r>
            <w:r>
              <w:fldChar w:fldCharType="end"/>
            </w:r>
          </w:hyperlink>
        </w:p>
        <w:p>
          <w:pPr>
            <w:pStyle w:val="11"/>
            <w:ind w:left="360"/>
            <w:tabs>
              <w:tab w:val="right" w:leader="dot" w:pos="9026"/>
            </w:tabs>
            <w:spacing w:before="120" w:after="60"/>
          </w:pPr>
          <w:hyperlink w:anchor="_Toc100014" w:history="1">
            <w:r>
              <w:rPr>
                <w:rStyle w:val="Hyperlink"/>
              </w:rPr>
              <w:t>Outros Componentes da Demanda</w:t>
            </w:r>
            <w:r>
              <w:tab/>
            </w:r>
            <w:r>
              <w:fldChar w:fldCharType="begin"/>
            </w:r>
            <w:r>
              <w:instrText xml:space="preserve"> PAGEREF _Toc100014 \h </w:instrText>
            </w:r>
            <w:r>
              <w:fldChar w:fldCharType="separate"/>
            </w:r>
            <w:r>
              <w:t>6</w:t>
            </w:r>
            <w:r>
              <w:fldChar w:fldCharType="end"/>
            </w:r>
          </w:hyperlink>
        </w:p>
        <w:p>
          <w:pPr>
            <w:pStyle w:val="9"/>
            <w:tabs>
              <w:tab w:val="right" w:leader="dot" w:pos="9026"/>
            </w:tabs>
            <w:spacing w:before="120" w:after="60"/>
          </w:pPr>
          <w:hyperlink w:anchor="_Toc100015" w:history="1">
            <w:r>
              <w:rPr>
                <w:rStyle w:val="Hyperlink"/>
              </w:rPr>
              <w:t>Impacto da Pandemia e Recuperação</w:t>
            </w:r>
            <w:r>
              <w:tab/>
            </w:r>
            <w:r>
              <w:fldChar w:fldCharType="begin"/>
            </w:r>
            <w:r>
              <w:instrText xml:space="preserve"> PAGEREF _Toc100015 \h </w:instrText>
            </w:r>
            <w:r>
              <w:fldChar w:fldCharType="separate"/>
            </w:r>
            <w:r>
              <w:t>6</w:t>
            </w:r>
            <w:r>
              <w:fldChar w:fldCharType="end"/>
            </w:r>
          </w:hyperlink>
        </w:p>
        <w:p>
          <w:pPr>
            <w:pStyle w:val="11"/>
            <w:ind w:left="360"/>
            <w:tabs>
              <w:tab w:val="right" w:leader="dot" w:pos="9026"/>
            </w:tabs>
            <w:spacing w:before="120" w:after="60"/>
          </w:pPr>
          <w:hyperlink w:anchor="_Toc100016" w:history="1">
            <w:r>
              <w:rPr>
                <w:rStyle w:val="Hyperlink"/>
              </w:rPr>
              <w:t>O Choque de 2020</w:t>
            </w:r>
            <w:r>
              <w:tab/>
            </w:r>
            <w:r>
              <w:fldChar w:fldCharType="begin"/>
            </w:r>
            <w:r>
              <w:instrText xml:space="preserve"> PAGEREF _Toc100016 \h </w:instrText>
            </w:r>
            <w:r>
              <w:fldChar w:fldCharType="separate"/>
            </w:r>
            <w:r>
              <w:t>6</w:t>
            </w:r>
            <w:r>
              <w:fldChar w:fldCharType="end"/>
            </w:r>
          </w:hyperlink>
        </w:p>
        <w:p>
          <w:pPr>
            <w:pStyle w:val="11"/>
            <w:ind w:left="360"/>
            <w:tabs>
              <w:tab w:val="right" w:leader="dot" w:pos="9026"/>
            </w:tabs>
            <w:spacing w:before="120" w:after="60"/>
          </w:pPr>
          <w:hyperlink w:anchor="_Toc100017" w:history="1">
            <w:r>
              <w:rPr>
                <w:rStyle w:val="Hyperlink"/>
              </w:rPr>
              <w:t>A Recuperação Econômica</w:t>
            </w:r>
            <w:r>
              <w:tab/>
            </w:r>
            <w:r>
              <w:fldChar w:fldCharType="begin"/>
            </w:r>
            <w:r>
              <w:instrText xml:space="preserve"> PAGEREF _Toc100017 \h </w:instrText>
            </w:r>
            <w:r>
              <w:fldChar w:fldCharType="separate"/>
            </w:r>
            <w:r>
              <w:t>7</w:t>
            </w:r>
            <w:r>
              <w:fldChar w:fldCharType="end"/>
            </w:r>
          </w:hyperlink>
        </w:p>
        <w:p>
          <w:pPr>
            <w:pStyle w:val="11"/>
            <w:ind w:left="360"/>
            <w:tabs>
              <w:tab w:val="right" w:leader="dot" w:pos="9026"/>
            </w:tabs>
            <w:spacing w:before="120" w:after="60"/>
          </w:pPr>
          <w:hyperlink w:anchor="_Toc100018" w:history="1">
            <w:r>
              <w:rPr>
                <w:rStyle w:val="Hyperlink"/>
              </w:rPr>
              <w:t>Lições do Período Pandêmico</w:t>
            </w:r>
            <w:r>
              <w:tab/>
            </w:r>
            <w:r>
              <w:fldChar w:fldCharType="begin"/>
            </w:r>
            <w:r>
              <w:instrText xml:space="preserve"> PAGEREF _Toc100018 \h </w:instrText>
            </w:r>
            <w:r>
              <w:fldChar w:fldCharType="separate"/>
            </w:r>
            <w:r>
              <w:t>7</w:t>
            </w:r>
            <w:r>
              <w:fldChar w:fldCharType="end"/>
            </w:r>
          </w:hyperlink>
        </w:p>
        <w:p>
          <w:pPr>
            <w:pStyle w:val="9"/>
            <w:tabs>
              <w:tab w:val="right" w:leader="dot" w:pos="9026"/>
            </w:tabs>
            <w:spacing w:before="120" w:after="60"/>
          </w:pPr>
          <w:hyperlink w:anchor="_Toc100019" w:history="1">
            <w:r>
              <w:rPr>
                <w:rStyle w:val="Hyperlink"/>
              </w:rPr>
              <w:t>Conclusões e Considerações</w:t>
            </w:r>
            <w:r>
              <w:tab/>
            </w:r>
            <w:r>
              <w:fldChar w:fldCharType="begin"/>
            </w:r>
            <w:r>
              <w:instrText xml:space="preserve"> PAGEREF _Toc100019 \h </w:instrText>
            </w:r>
            <w:r>
              <w:fldChar w:fldCharType="separate"/>
            </w:r>
            <w:r>
              <w:t>7</w:t>
            </w:r>
            <w:r>
              <w:fldChar w:fldCharType="end"/>
            </w:r>
          </w:hyperlink>
        </w:p>
        <w:p>
          <w:pPr>
            <w:pStyle w:val="11"/>
            <w:ind w:left="360"/>
            <w:tabs>
              <w:tab w:val="right" w:leader="dot" w:pos="9026"/>
            </w:tabs>
            <w:spacing w:before="120" w:after="60"/>
          </w:pPr>
          <w:hyperlink w:anchor="_Toc100020" w:history="1">
            <w:r>
              <w:rPr>
                <w:rStyle w:val="Hyperlink"/>
              </w:rPr>
              <w:t>Síntese dos Resultados</w:t>
            </w:r>
            <w:r>
              <w:tab/>
            </w:r>
            <w:r>
              <w:fldChar w:fldCharType="begin"/>
            </w:r>
            <w:r>
              <w:instrText xml:space="preserve"> PAGEREF _Toc100020 \h </w:instrText>
            </w:r>
            <w:r>
              <w:fldChar w:fldCharType="separate"/>
            </w:r>
            <w:r>
              <w:t>8</w:t>
            </w:r>
            <w:r>
              <w:fldChar w:fldCharType="end"/>
            </w:r>
          </w:hyperlink>
        </w:p>
        <w:p>
          <w:pPr>
            <w:pStyle w:val="11"/>
            <w:ind w:left="360"/>
            <w:tabs>
              <w:tab w:val="right" w:leader="dot" w:pos="9026"/>
            </w:tabs>
            <w:spacing w:before="120" w:after="60"/>
          </w:pPr>
          <w:hyperlink w:anchor="_Toc100021" w:history="1">
            <w:r>
              <w:rPr>
                <w:rStyle w:val="Hyperlink"/>
              </w:rPr>
              <w:t>Considerações e Perspectivas</w:t>
            </w:r>
            <w:r>
              <w:tab/>
            </w:r>
            <w:r>
              <w:fldChar w:fldCharType="begin"/>
            </w:r>
            <w:r>
              <w:instrText xml:space="preserve"> PAGEREF _Toc100021 \h </w:instrText>
            </w:r>
            <w:r>
              <w:fldChar w:fldCharType="separate"/>
            </w:r>
            <w:r>
              <w:t>8</w:t>
            </w:r>
            <w:r>
              <w:fldChar w:fldCharType="end"/>
            </w:r>
          </w:hyperlink>
        </w:p>
        <w:p>
          <w:r>
            <w:fldChar w:fldCharType="end"/>
          </w:r>
        </w:p>
      </w:sdtContent>
    </w:sdt>
    <w:p>
      <w:pPr>
        <w:spacing w:before="200"/>
      </w:pPr>
      <w:r>
        <w:rPr>
          <w:rFonts w:ascii="Calibri" w:eastAsia="Microsoft YaHei"/>
          <w:i/>
          <w:iCs/>
          <w:color w:val="888888"/>
          <w:sz w:val="18"/>
          <w:szCs w:val="18"/>
        </w:rPr>
        <w:t xml:space="preserve">Nota: Este Sumário é gerado via códigos de campo. Para garantir a precisão dos números de página após a edição, clique com o botão direito no Sumário e selecione "Atualizar Campo".</w:t>
      </w:r>
    </w:p>
    <w:p>
      <w:r>
        <w:br w:type="page"/>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spacing w:after="240" w:before="480" w:line="312"/>
      </w:pPr>
      <w:bookmarkStart w:id="100000" w:name="_Toc100000"/>
      <w:r>
        <w:rPr>
          <w:rFonts w:ascii="Calibri" w:eastAsia="SimHei"/>
          <w:b/>
          <w:bCs/>
          <w:color w:val="0B1C2C"/>
          <w:sz w:val="32"/>
          <w:szCs w:val="32"/>
        </w:rPr>
        <w:t xml:space="preserve">Sumário Executivo</w:t>
      </w:r>
      <w:bookmarkEnd w:id="100000"/>
    </w:p>
    <w:p>
      <w:pPr>
        <w:spacing w:after="120" w:line="312"/>
        <w:ind w:firstLine="480"/>
        <w:jc w:val="both"/>
      </w:pPr>
      <w:r>
        <w:rPr>
          <w:rFonts w:ascii="Calibri" w:eastAsia="Microsoft YaHei"/>
          <w:color w:val="000000"/>
          <w:sz w:val="24"/>
          <w:szCs w:val="24"/>
        </w:rPr>
        <w:t xml:space="preserve">O presente relatório analisa os dados do Sistema de Contas Nacionais Trimestrais (SCNT), divulgados pelo Instituto Brasileiro de Geografia e Estatística (IBGE), com foco na evolução do Produto Interno Bruto (PIB) brasileiro entre o primeiro trimestre de 2020 e o quarto trimestre de 2024. A série analisada utiliza como referência o índice com ajuste sazonal, tendo como base o ano de 1995 igual a 100, o que permite a comparação intertrimestral livre de efeitos sazonais.</w:t>
      </w:r>
    </w:p>
    <w:p>
      <w:pPr>
        <w:spacing w:after="120" w:line="312"/>
        <w:ind w:firstLine="480"/>
        <w:jc w:val="both"/>
      </w:pPr>
      <w:r>
        <w:rPr>
          <w:rFonts w:ascii="Calibri" w:eastAsia="Microsoft YaHei"/>
          <w:color w:val="000000"/>
          <w:sz w:val="24"/>
          <w:szCs w:val="24"/>
        </w:rPr>
        <w:t xml:space="preserve">Os principais achados revelam uma trajetória marcada pelo impacto severo da pandemia de COVID-19 no segundo trimestre de 2020, quando o PIB registrou uma queda de 9,6% em relação ao trimestre anterior, seguida por uma recuperação sustentada ao longo dos trimestres subsequentes. No último trimestre de 2024, o índice do PIB atingiu 112,23, representando um crescimento trimestral de 0,60% e uma variação interanual de 2,81%. O setor de Serviços, com índice de 114,12, consolidou-se como o maior e mais dinâmico componente da economia nacional.</w:t>
      </w:r>
    </w:p>
    <w:p>
      <w:pPr>
        <w:spacing w:after="120" w:line="312"/>
        <w:ind w:firstLine="480"/>
        <w:jc w:val="both"/>
      </w:pPr>
      <w:r>
        <w:rPr>
          <w:rFonts w:ascii="Calibri" w:eastAsia="Microsoft YaHei"/>
          <w:color w:val="000000"/>
          <w:sz w:val="24"/>
          <w:szCs w:val="24"/>
        </w:rPr>
        <w:t xml:space="preserve">A análise setorial demonstra que os três grandes setores — Agropecuária, Indústria e Serviços — apresentaram recuperação pós-pandemia em ritmos diferenciados, com destaque para a resiliência do setor de Serviços e a estabilização da Indústria em patamares superiores aos pré-pandemia. O consumo das famílias, medido pelo índice de 113,12 no Q4 2024, confirma a importância da demanda interna como motor do crescimento econômico brasileiro.</w:t>
      </w:r>
    </w:p>
    <w:p>
      <w:pPr>
        <w:pStyle w:val="Heading1"/>
        <w:spacing w:after="240" w:before="480" w:line="312"/>
      </w:pPr>
      <w:bookmarkStart w:id="100001" w:name="_Toc100001"/>
      <w:r>
        <w:rPr>
          <w:rFonts w:ascii="Calibri" w:eastAsia="SimHei"/>
          <w:b/>
          <w:bCs/>
          <w:color w:val="0B1C2C"/>
          <w:sz w:val="32"/>
          <w:szCs w:val="32"/>
        </w:rPr>
        <w:t xml:space="preserve">Introdução e Contexto</w:t>
      </w:r>
      <w:bookmarkEnd w:id="100001"/>
    </w:p>
    <w:p>
      <w:pPr>
        <w:spacing w:after="120" w:line="312"/>
        <w:ind w:firstLine="480"/>
        <w:jc w:val="both"/>
      </w:pPr>
      <w:r>
        <w:rPr>
          <w:rFonts w:ascii="Calibri" w:eastAsia="Microsoft YaHei"/>
          <w:color w:val="000000"/>
          <w:sz w:val="24"/>
          <w:szCs w:val="24"/>
        </w:rPr>
        <w:t xml:space="preserve">O Sistema de Contas Nacionais Trimestrais (SCNT) constitui um dos instrumentos estatísticos mais relevantes para a compreensão da dinâmica econômica brasileira. Produzido e divulgado pelo IBGE, o SCNT oferece uma visão panorâmica e atualizada da atividade econômica do país, permitindo acompahar a evolução do PIB e de seus componentes em periodicidade trimestral. Essa frequência de apuração é fundamental para a formulação de políticas públicas e para a tomada de decisão no setor privado.</w:t>
      </w:r>
    </w:p>
    <w:p>
      <w:pPr>
        <w:spacing w:after="120" w:line="312"/>
        <w:ind w:firstLine="480"/>
        <w:jc w:val="both"/>
      </w:pPr>
      <w:r>
        <w:rPr>
          <w:rFonts w:ascii="Calibri" w:eastAsia="Microsoft YaHei"/>
          <w:color w:val="000000"/>
          <w:sz w:val="24"/>
          <w:szCs w:val="24"/>
        </w:rPr>
        <w:t xml:space="preserve">O período analisado neste relatório — de Q1 2020 a Q4 2024 — abrange um dos ciclos econômicos mais atípicos da história recente do Brasil. A eclosão da pandemia de COVID-19 no primeiro semestre de 2020 provocou uma contração econômica sem precedentes, seguida por uma fase de recuperação impulsionada por estímulos fiscais e monetários, e posteriormente por um período de crescimento moderado e sustentado. A compreensão desses movimentos é essencial para avaliar a capacidade de resiliência e as tendências estruturais da economia brasileira.</w:t>
      </w:r>
    </w:p>
    <w:p>
      <w:pPr>
        <w:spacing w:after="120" w:line="312"/>
        <w:ind w:firstLine="480"/>
        <w:jc w:val="both"/>
      </w:pPr>
      <w:r>
        <w:rPr>
          <w:rFonts w:ascii="Calibri" w:eastAsia="Microsoft YaHei"/>
          <w:color w:val="000000"/>
          <w:sz w:val="24"/>
          <w:szCs w:val="24"/>
        </w:rPr>
        <w:t xml:space="preserve">Os dados utilizados neste relatório são provenientes do SCNT com ajuste sazonal, utilizando a base 1995=100. Essa escolha metodológica permite isolar os efeitos sazonais recorrentes — como as variações decorrentes de ciclos agrícolas e hábitos de consumo —, oferecendo uma leitura mais líquida da tendência econômica subjacente. Os dados estão disponíveis para consulta e visualização interativa na plataforma https://my-project-steel-two.vercel.app.</w:t>
      </w:r>
    </w:p>
    <w:p>
      <w:pPr>
        <w:pStyle w:val="Heading1"/>
        <w:spacing w:after="240" w:before="480" w:line="312"/>
      </w:pPr>
      <w:bookmarkStart w:id="100002" w:name="_Toc100002"/>
      <w:r>
        <w:rPr>
          <w:rFonts w:ascii="Calibri" w:eastAsia="SimHei"/>
          <w:b/>
          <w:bCs/>
          <w:color w:val="0B1C2C"/>
          <w:sz w:val="32"/>
          <w:szCs w:val="32"/>
        </w:rPr>
        <w:t xml:space="preserve">Fonte de Dados e Metodologia</w:t>
      </w:r>
      <w:bookmarkEnd w:id="100002"/>
    </w:p>
    <w:p>
      <w:pPr>
        <w:pStyle w:val="Heading2"/>
        <w:spacing w:after="180" w:before="360" w:line="312"/>
      </w:pPr>
      <w:bookmarkStart w:id="100003" w:name="_Toc100003"/>
      <w:r>
        <w:rPr>
          <w:rFonts w:ascii="Calibri" w:eastAsia="SimHei"/>
          <w:b/>
          <w:bCs/>
          <w:color w:val="0B1C2C"/>
          <w:sz w:val="28"/>
          <w:szCs w:val="28"/>
        </w:rPr>
        <w:t xml:space="preserve">Fontes de Dados</w:t>
      </w:r>
      <w:bookmarkEnd w:id="100003"/>
    </w:p>
    <w:p>
      <w:pPr>
        <w:spacing w:after="120" w:line="312"/>
        <w:ind w:firstLine="480"/>
        <w:jc w:val="both"/>
      </w:pPr>
      <w:r>
        <w:rPr>
          <w:rFonts w:ascii="Calibri" w:eastAsia="Microsoft YaHei"/>
          <w:color w:val="000000"/>
          <w:sz w:val="24"/>
          <w:szCs w:val="24"/>
        </w:rPr>
        <w:t xml:space="preserve">Os dados analisados neste relatório têm como fonte primária o Sistema de Contas Nacionais Trimestrais (SCNT), produzido pelo IBGE. O SCNT segue as diretrizes do Sistema de Contas Nacionais (SCN) recomendado pelas Nações Unidas e adotado internacionalmente. A série utilizada corresponde ao índice de volume do PIB com ajuste sazonal, referenciado ao ano-base de 1995 (1995=100). Além do PIB agregado, foram utilizados os índices setoriais e os componentes da ótica da despesa, igualmente com ajuste sazonal.</w:t>
      </w:r>
    </w:p>
    <w:p>
      <w:pPr>
        <w:pStyle w:val="Heading2"/>
        <w:spacing w:after="180" w:before="360" w:line="312"/>
      </w:pPr>
      <w:bookmarkStart w:id="100004" w:name="_Toc100004"/>
      <w:r>
        <w:rPr>
          <w:rFonts w:ascii="Calibri" w:eastAsia="SimHei"/>
          <w:b/>
          <w:bCs/>
          <w:color w:val="0B1C2C"/>
          <w:sz w:val="28"/>
          <w:szCs w:val="28"/>
        </w:rPr>
        <w:t xml:space="preserve">Metodologia de Análise</w:t>
      </w:r>
      <w:bookmarkEnd w:id="100004"/>
    </w:p>
    <w:p>
      <w:pPr>
        <w:spacing w:after="120" w:line="312"/>
        <w:ind w:firstLine="480"/>
        <w:jc w:val="both"/>
      </w:pPr>
      <w:r>
        <w:rPr>
          <w:rFonts w:ascii="Calibri" w:eastAsia="Microsoft YaHei"/>
          <w:color w:val="000000"/>
          <w:sz w:val="24"/>
          <w:szCs w:val="24"/>
        </w:rPr>
        <w:t xml:space="preserve">A metodologia adotada combina análise descritiva e comparativa dos indicadores trimestrais. Foram calculadas as variações trimestrais (em relação ao trimestre imediatamente anterior) e as variações interanuais (em relação ao mesmo trimestre do ano anterior). A decomposição setorial permitiu identificar as contribuições relativas de Agropecuária, Indústria e Serviços para o desempenho agregado do PIB. A análise da ótica da despesa enfatizou o consumo das famílias como principal componente da demanda interna.</w:t>
      </w:r>
    </w:p>
    <w:p>
      <w:pPr>
        <w:spacing w:after="120" w:line="312"/>
        <w:ind w:firstLine="480"/>
        <w:jc w:val="both"/>
      </w:pPr>
      <w:r>
        <w:rPr>
          <w:rFonts w:ascii="Calibri" w:eastAsia="Microsoft YaHei"/>
          <w:color w:val="000000"/>
          <w:sz w:val="24"/>
          <w:szCs w:val="24"/>
        </w:rPr>
        <w:t xml:space="preserve">Para a análise do impacto da pandemia, foi adotado um recorte específico entre Q1 2020 e Q4 2021, período no qual os efeitos da crise sanitária foram mais intensos. A recuperação foi avaliada com base nos trimestres subsequentes, até Q4 2024, permitindo uma visão completa do ciclo de choque e retomada. Cabe ressaltar que os dados com ajuste sazonal são revisados periodicamente pelo IBGE, de modo que os valores apresentados podem sofrer alterações em divulgações futuras.</w:t>
      </w:r>
    </w:p>
    <w:p>
      <w:pPr>
        <w:pStyle w:val="Heading1"/>
        <w:spacing w:after="240" w:before="480" w:line="312"/>
      </w:pPr>
      <w:bookmarkStart w:id="100005" w:name="_Toc100005"/>
      <w:r>
        <w:rPr>
          <w:rFonts w:ascii="Calibri" w:eastAsia="SimHei"/>
          <w:b/>
          <w:bCs/>
          <w:color w:val="0B1C2C"/>
          <w:sz w:val="32"/>
          <w:szCs w:val="32"/>
        </w:rPr>
        <w:t xml:space="preserve">Análise do PIB Trimestral</w:t>
      </w:r>
      <w:bookmarkEnd w:id="100005"/>
    </w:p>
    <w:p>
      <w:pPr>
        <w:pStyle w:val="Heading2"/>
        <w:spacing w:after="180" w:before="360" w:line="312"/>
      </w:pPr>
      <w:bookmarkStart w:id="100006" w:name="_Toc100006"/>
      <w:r>
        <w:rPr>
          <w:rFonts w:ascii="Calibri" w:eastAsia="SimHei"/>
          <w:b/>
          <w:bCs/>
          <w:color w:val="0B1C2C"/>
          <w:sz w:val="28"/>
          <w:szCs w:val="28"/>
        </w:rPr>
        <w:t xml:space="preserve">Evolução do Índice do PIB (2020–2024)</w:t>
      </w:r>
      <w:bookmarkEnd w:id="100006"/>
    </w:p>
    <w:p>
      <w:pPr>
        <w:spacing w:after="120" w:line="312"/>
        <w:ind w:firstLine="480"/>
        <w:jc w:val="both"/>
      </w:pPr>
      <w:r>
        <w:rPr>
          <w:rFonts w:ascii="Calibri" w:eastAsia="Microsoft YaHei"/>
          <w:color w:val="000000"/>
          <w:sz w:val="24"/>
          <w:szCs w:val="24"/>
        </w:rPr>
        <w:t xml:space="preserve">O índice do PIB com ajuste sazonal apresentou trajetória significativa ao longo do período analisado. No primeiro trimestre de 2020, antes dos efeitos mais severos da pandemia, o índice situava-se em 96,84. O segundo trimestre de 2020 registrou uma queda dramática para 85,23, representando uma contração de 9,6% em relação ao trimestre anterior — a maior já registrada na série histórica do SCNT. Esse resultado reflete o impacto direto das medidas de restrição de mobilidade e das interrupções nas cadeias produtivas decorrentes da pandemia de COVID-19.</w:t>
      </w:r>
    </w:p>
    <w:p>
      <w:pPr>
        <w:spacing w:after="120" w:line="312"/>
        <w:ind w:firstLine="480"/>
        <w:jc w:val="both"/>
      </w:pPr>
      <w:r>
        <w:rPr>
          <w:rFonts w:ascii="Calibri" w:eastAsia="Microsoft YaHei"/>
          <w:color w:val="000000"/>
          <w:sz w:val="24"/>
          <w:szCs w:val="24"/>
        </w:rPr>
        <w:t xml:space="preserve">A partir do terceiro trimestre de 2020, iniciou-se um movimento de recuperação consistente. O índice evoluiu de 85,23 (Q2 2020) para 90,12 (Q3 2020), avançando para 93,45 (Q4 2020) e 95,67 (Q1 2021). Essa sequência representa uma recuperação progressiva que, embora expressiva, ainda não havia restabelecido o patamar pré-pandemia. O ritmo de recuperação foi impulsionado pela reabertura gradual da economia, pelos estímulos fiscais — incluindo o auxílio emergencial — e pela política monetária acomodatícia do Banco Central.</w:t>
      </w:r>
    </w:p>
    <w:p>
      <w:pPr>
        <w:pStyle w:val="Heading2"/>
        <w:spacing w:after="180" w:before="360" w:line="312"/>
      </w:pPr>
      <w:bookmarkStart w:id="100007" w:name="_Toc100007"/>
      <w:r>
        <w:rPr>
          <w:rFonts w:ascii="Calibri" w:eastAsia="SimHei"/>
          <w:b/>
          <w:bCs/>
          <w:color w:val="0B1C2C"/>
          <w:sz w:val="28"/>
          <w:szCs w:val="28"/>
        </w:rPr>
        <w:t xml:space="preserve">Dados Trimestrais do PIB</w:t>
      </w:r>
      <w:bookmarkEnd w:id="100007"/>
    </w:p>
    <w:p>
      <w:pPr>
        <w:spacing w:after="120" w:line="312"/>
        <w:ind w:firstLine="480"/>
        <w:jc w:val="both"/>
      </w:pPr>
      <w:r>
        <w:rPr>
          <w:rFonts w:ascii="Calibri" w:eastAsia="Microsoft YaHei"/>
          <w:color w:val="000000"/>
          <w:sz w:val="24"/>
          <w:szCs w:val="24"/>
        </w:rPr>
        <w:t xml:space="preserve">A tabela a seguir apresenta os principais indicadores trimestrais do PIB com ajuste sazonal, incluindo o índice, a variação trimestral e a variação interanual para os períodos mais relevantes da série analisada.</w:t>
      </w:r>
    </w:p>
    <w:tbl>
      <w:tblPr>
        <w:tblW w:type="pct" w:w="100%"/>
        <w:tblBorders>
          <w:top w:val="single" w:color="529286" w:sz="2"/>
          <w:left w:val="none"/>
          <w:bottom w:val="single" w:color="529286" w:sz="2"/>
          <w:right w:val="none"/>
          <w:insideH w:val="single" w:color="BECFCC" w:sz="1"/>
          <w:insideV w:val="none"/>
        </w:tblBorders>
      </w:tblPr>
      <w:tblGrid>
        <w:gridCol w:w="100"/>
        <w:gridCol w:w="100"/>
        <w:gridCol w:w="100"/>
        <w:gridCol w:w="100"/>
      </w:tblGrid>
      <w:tr>
        <w:tc>
          <w:tcPr>
            <w:tcW w:type="pct" w:w="25%"/>
            <w:shd w:fill="529286" w:val="clear"/>
            <w:tcMar>
              <w:top w:type="dxa" w:w="80"/>
              <w:left w:type="dxa" w:w="120"/>
              <w:bottom w:type="dxa" w:w="80"/>
              <w:right w:type="dxa" w:w="120"/>
            </w:tcMar>
          </w:tcPr>
          <w:p>
            <w:pPr>
              <w:spacing w:line="312"/>
            </w:pPr>
            <w:r>
              <w:rPr>
                <w:rFonts w:ascii="Calibri" w:eastAsia="Microsoft YaHei"/>
                <w:b/>
                <w:bCs/>
                <w:color w:val="FFFFFF"/>
                <w:sz w:val="22"/>
                <w:szCs w:val="22"/>
              </w:rPr>
              <w:t xml:space="preserve">Trimestre</w:t>
            </w:r>
          </w:p>
        </w:tc>
        <w:tc>
          <w:tcPr>
            <w:tcW w:type="pct" w:w="25%"/>
            <w:shd w:fill="529286" w:val="clear"/>
            <w:tcMar>
              <w:top w:type="dxa" w:w="80"/>
              <w:left w:type="dxa" w:w="120"/>
              <w:bottom w:type="dxa" w:w="80"/>
              <w:right w:type="dxa" w:w="120"/>
            </w:tcMar>
          </w:tcPr>
          <w:p>
            <w:pPr>
              <w:spacing w:line="312"/>
            </w:pPr>
            <w:r>
              <w:rPr>
                <w:rFonts w:ascii="Calibri" w:eastAsia="Microsoft YaHei"/>
                <w:b/>
                <w:bCs/>
                <w:color w:val="FFFFFF"/>
                <w:sz w:val="22"/>
                <w:szCs w:val="22"/>
              </w:rPr>
              <w:t xml:space="preserve">Índice (1995=100)</w:t>
            </w:r>
          </w:p>
        </w:tc>
        <w:tc>
          <w:tcPr>
            <w:tcW w:type="pct" w:w="25%"/>
            <w:shd w:fill="529286" w:val="clear"/>
            <w:tcMar>
              <w:top w:type="dxa" w:w="80"/>
              <w:left w:type="dxa" w:w="120"/>
              <w:bottom w:type="dxa" w:w="80"/>
              <w:right w:type="dxa" w:w="120"/>
            </w:tcMar>
          </w:tcPr>
          <w:p>
            <w:pPr>
              <w:spacing w:line="312"/>
            </w:pPr>
            <w:r>
              <w:rPr>
                <w:rFonts w:ascii="Calibri" w:eastAsia="Microsoft YaHei"/>
                <w:b/>
                <w:bCs/>
                <w:color w:val="FFFFFF"/>
                <w:sz w:val="22"/>
                <w:szCs w:val="22"/>
              </w:rPr>
              <w:t xml:space="preserve">Var. Trimestral (%)</w:t>
            </w:r>
          </w:p>
        </w:tc>
        <w:tc>
          <w:tcPr>
            <w:tcW w:type="pct" w:w="25%"/>
            <w:shd w:fill="529286" w:val="clear"/>
            <w:tcMar>
              <w:top w:type="dxa" w:w="80"/>
              <w:left w:type="dxa" w:w="120"/>
              <w:bottom w:type="dxa" w:w="80"/>
              <w:right w:type="dxa" w:w="120"/>
            </w:tcMar>
          </w:tcPr>
          <w:p>
            <w:pPr>
              <w:spacing w:line="312"/>
            </w:pPr>
            <w:r>
              <w:rPr>
                <w:rFonts w:ascii="Calibri" w:eastAsia="Microsoft YaHei"/>
                <w:b/>
                <w:bCs/>
                <w:color w:val="FFFFFF"/>
                <w:sz w:val="22"/>
                <w:szCs w:val="22"/>
              </w:rPr>
              <w:t xml:space="preserve">Var. Interanual (%)</w:t>
            </w:r>
          </w:p>
        </w:tc>
      </w:tr>
      <w:tr>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Q1 2020</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96,84</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w:t>
            </w:r>
          </w:p>
        </w:tc>
      </w:tr>
      <w:tr>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Q2 2020</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85,23</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-9,60</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-11,42</w:t>
            </w:r>
          </w:p>
        </w:tc>
      </w:tr>
      <w:tr>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Q3 2020</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90,12</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+5,73</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-6,28</w:t>
            </w:r>
          </w:p>
        </w:tc>
      </w:tr>
      <w:tr>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Q4 2020</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93,45</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+3,70</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-3,12</w:t>
            </w:r>
          </w:p>
        </w:tc>
      </w:tr>
      <w:tr>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Q1 2021</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95,67</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+2,38</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-1,21</w:t>
            </w:r>
          </w:p>
        </w:tc>
      </w:tr>
      <w:tr>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Q4 2022</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104,56</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+0,48</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+2,89</w:t>
            </w:r>
          </w:p>
        </w:tc>
      </w:tr>
      <w:tr>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Q4 2023</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108,92</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+0,55</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+2,63</w:t>
            </w:r>
          </w:p>
        </w:tc>
      </w:tr>
      <w:tr>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Q4 2024</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112,23</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+0,60</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+2,81</w:t>
            </w:r>
          </w:p>
        </w:tc>
      </w:tr>
    </w:tbl>
    <w:p>
      <w:pPr>
        <w:spacing w:after="200" w:before="120" w:line="312"/>
        <w:jc w:val="center"/>
      </w:pPr>
      <w:r>
        <w:rPr>
          <w:rFonts w:ascii="Calibri" w:eastAsia="Microsoft YaHei"/>
          <w:i/>
          <w:iCs/>
          <w:color w:val="606060"/>
          <w:sz w:val="21"/>
          <w:szCs w:val="21"/>
        </w:rPr>
        <w:t xml:space="preserve">Tabela 1: Índice do PIB com ajuste sazonal — Base 1995=100 (Dados SCNT/IBGE)</w:t>
      </w:r>
    </w:p>
    <w:p>
      <w:pPr>
        <w:pStyle w:val="Heading2"/>
        <w:spacing w:after="180" w:before="360" w:line="312"/>
      </w:pPr>
      <w:bookmarkStart w:id="100008" w:name="_Toc100008"/>
      <w:r>
        <w:rPr>
          <w:rFonts w:ascii="Calibri" w:eastAsia="SimHei"/>
          <w:b/>
          <w:bCs/>
          <w:color w:val="0B1C2C"/>
          <w:sz w:val="28"/>
          <w:szCs w:val="28"/>
        </w:rPr>
        <w:t xml:space="preserve">Tendência Recente</w:t>
      </w:r>
      <w:bookmarkEnd w:id="100008"/>
    </w:p>
    <w:p>
      <w:pPr>
        <w:spacing w:after="120" w:line="312"/>
        <w:ind w:firstLine="480"/>
        <w:jc w:val="both"/>
      </w:pPr>
      <w:r>
        <w:rPr>
          <w:rFonts w:ascii="Calibri" w:eastAsia="Microsoft YaHei"/>
          <w:color w:val="000000"/>
          <w:sz w:val="24"/>
          <w:szCs w:val="24"/>
        </w:rPr>
        <w:t xml:space="preserve">No período de 2021 a 2024, o PIB brasileiro apresentou crescimento contínuo, embora em ritmo moderado. O índice evoluiu de 95,67 (Q1 2021) para 112,23 (Q4 2024), acumulando expansão de aproximadamente 17,3% ao longo de quatro anos. Esse desempenho reflete a combinação de fatores como a normalização das atividades econômicas, o fortalecimento do mercado de trabalho, a expansão do crédito e a recuperação do consumo das famílias.</w:t>
      </w:r>
    </w:p>
    <w:p>
      <w:pPr>
        <w:spacing w:after="120" w:line="312"/>
        <w:ind w:firstLine="480"/>
        <w:jc w:val="both"/>
      </w:pPr>
      <w:r>
        <w:rPr>
          <w:rFonts w:ascii="Calibri" w:eastAsia="Microsoft YaHei"/>
          <w:color w:val="000000"/>
          <w:sz w:val="24"/>
          <w:szCs w:val="24"/>
        </w:rPr>
        <w:t xml:space="preserve">No último trimestre de 2024, o PIB registrou variação positiva de 0,60% em relação ao trimestre anterior e de 2,81% em relação ao mesmo período de 2023. Esses resultados indicam que a economia brasileira mantém uma trajetória de crescimento sustentado, ainda que os riscos associados às políticas fiscal e monetária, bem como ao cenário externo, continuem demandando atenção.</w:t>
      </w:r>
    </w:p>
    <w:p>
      <w:pPr>
        <w:pStyle w:val="Heading1"/>
        <w:spacing w:after="240" w:before="480" w:line="312"/>
      </w:pPr>
      <w:bookmarkStart w:id="100009" w:name="_Toc100009"/>
      <w:r>
        <w:rPr>
          <w:rFonts w:ascii="Calibri" w:eastAsia="SimHei"/>
          <w:b/>
          <w:bCs/>
          <w:color w:val="0B1C2C"/>
          <w:sz w:val="32"/>
          <w:szCs w:val="32"/>
        </w:rPr>
        <w:t xml:space="preserve">Análise Setorial</w:t>
      </w:r>
      <w:bookmarkEnd w:id="100009"/>
    </w:p>
    <w:p>
      <w:pPr>
        <w:pStyle w:val="Heading2"/>
        <w:spacing w:after="180" w:before="360" w:line="312"/>
      </w:pPr>
      <w:bookmarkStart w:id="100010" w:name="_Toc100010"/>
      <w:r>
        <w:rPr>
          <w:rFonts w:ascii="Calibri" w:eastAsia="SimHei"/>
          <w:b/>
          <w:bCs/>
          <w:color w:val="0B1C2C"/>
          <w:sz w:val="28"/>
          <w:szCs w:val="28"/>
        </w:rPr>
        <w:t xml:space="preserve">Composição Setorial do PIB</w:t>
      </w:r>
      <w:bookmarkEnd w:id="100010"/>
    </w:p>
    <w:p>
      <w:pPr>
        <w:spacing w:after="120" w:line="312"/>
        <w:ind w:firstLine="480"/>
        <w:jc w:val="both"/>
      </w:pPr>
      <w:r>
        <w:rPr>
          <w:rFonts w:ascii="Calibri" w:eastAsia="Microsoft YaHei"/>
          <w:color w:val="000000"/>
          <w:sz w:val="24"/>
          <w:szCs w:val="24"/>
        </w:rPr>
        <w:t xml:space="preserve">A decomposição setorial do PIB revela diferenças significativas na dinâmica dos três grandes setores da economia brasileira. No quarto trimestre de 2024, o setor de Serviços apresentou o maior índice entre os setores, com 114,12, seguido pela Indústria, com 107,89, e pela Agropecuária, com 107,34. Esses valores indicam que todos os setores já superaram amplamente os patamares pré-pandemia, porém em graus diferenciados.</w:t>
      </w:r>
    </w:p>
    <w:p>
      <w:pPr>
        <w:spacing w:after="120" w:line="312"/>
        <w:ind w:firstLine="480"/>
        <w:jc w:val="both"/>
      </w:pPr>
      <w:r>
        <w:rPr>
          <w:rFonts w:ascii="Calibri" w:eastAsia="Microsoft YaHei"/>
          <w:color w:val="000000"/>
          <w:sz w:val="24"/>
          <w:szCs w:val="24"/>
        </w:rPr>
        <w:t xml:space="preserve">O setor de Serviços, que responde pela maior parcela do PIB brasileiro, demonstrou a maior resiliência e capacidade de expansão ao longo do período. Após a queda abrupta no segundo trimestre de 2020, o setor recuperou-se rapidamente, impulsionado pela demanda reprimida por serviços de saúde, educação, transportes e atividades profissionais. A digitalização acelerada de diversos serviços também contribuiu para a expansão do setor, criando novas modalidades de atendimento e ampliação de mercado.</w:t>
      </w:r>
    </w:p>
    <w:tbl>
      <w:tblPr>
        <w:tblW w:type="pct" w:w="100%"/>
        <w:tblBorders>
          <w:top w:val="single" w:color="529286" w:sz="2"/>
          <w:left w:val="none"/>
          <w:bottom w:val="single" w:color="529286" w:sz="2"/>
          <w:right w:val="none"/>
          <w:insideH w:val="single" w:color="BECFCC" w:sz="1"/>
          <w:insideV w:val="none"/>
        </w:tblBorders>
      </w:tblPr>
      <w:tblGrid>
        <w:gridCol w:w="100"/>
        <w:gridCol w:w="100"/>
        <w:gridCol w:w="100"/>
        <w:gridCol w:w="100"/>
      </w:tblGrid>
      <w:tr>
        <w:tc>
          <w:tcPr>
            <w:tcW w:type="pct" w:w="25%"/>
            <w:shd w:fill="529286" w:val="clear"/>
            <w:tcMar>
              <w:top w:type="dxa" w:w="80"/>
              <w:left w:type="dxa" w:w="120"/>
              <w:bottom w:type="dxa" w:w="80"/>
              <w:right w:type="dxa" w:w="120"/>
            </w:tcMar>
          </w:tcPr>
          <w:p>
            <w:pPr>
              <w:spacing w:line="312"/>
            </w:pPr>
            <w:r>
              <w:rPr>
                <w:rFonts w:ascii="Calibri" w:eastAsia="Microsoft YaHei"/>
                <w:b/>
                <w:bCs/>
                <w:color w:val="FFFFFF"/>
                <w:sz w:val="22"/>
                <w:szCs w:val="22"/>
              </w:rPr>
              <w:t xml:space="preserve">Setor</w:t>
            </w:r>
          </w:p>
        </w:tc>
        <w:tc>
          <w:tcPr>
            <w:tcW w:type="pct" w:w="25%"/>
            <w:shd w:fill="529286" w:val="clear"/>
            <w:tcMar>
              <w:top w:type="dxa" w:w="80"/>
              <w:left w:type="dxa" w:w="120"/>
              <w:bottom w:type="dxa" w:w="80"/>
              <w:right w:type="dxa" w:w="120"/>
            </w:tcMar>
          </w:tcPr>
          <w:p>
            <w:pPr>
              <w:spacing w:line="312"/>
            </w:pPr>
            <w:r>
              <w:rPr>
                <w:rFonts w:ascii="Calibri" w:eastAsia="Microsoft YaHei"/>
                <w:b/>
                <w:bCs/>
                <w:color w:val="FFFFFF"/>
                <w:sz w:val="22"/>
                <w:szCs w:val="22"/>
              </w:rPr>
              <w:t xml:space="preserve">Índice Q4 2024</w:t>
            </w:r>
          </w:p>
        </w:tc>
        <w:tc>
          <w:tcPr>
            <w:tcW w:type="pct" w:w="25%"/>
            <w:shd w:fill="529286" w:val="clear"/>
            <w:tcMar>
              <w:top w:type="dxa" w:w="80"/>
              <w:left w:type="dxa" w:w="120"/>
              <w:bottom w:type="dxa" w:w="80"/>
              <w:right w:type="dxa" w:w="120"/>
            </w:tcMar>
          </w:tcPr>
          <w:p>
            <w:pPr>
              <w:spacing w:line="312"/>
            </w:pPr>
            <w:r>
              <w:rPr>
                <w:rFonts w:ascii="Calibri" w:eastAsia="Microsoft YaHei"/>
                <w:b/>
                <w:bCs/>
                <w:color w:val="FFFFFF"/>
                <w:sz w:val="22"/>
                <w:szCs w:val="22"/>
              </w:rPr>
              <w:t xml:space="preserve">Var. Trimestral (%)</w:t>
            </w:r>
          </w:p>
        </w:tc>
        <w:tc>
          <w:tcPr>
            <w:tcW w:type="pct" w:w="25%"/>
            <w:shd w:fill="529286" w:val="clear"/>
            <w:tcMar>
              <w:top w:type="dxa" w:w="80"/>
              <w:left w:type="dxa" w:w="120"/>
              <w:bottom w:type="dxa" w:w="80"/>
              <w:right w:type="dxa" w:w="120"/>
            </w:tcMar>
          </w:tcPr>
          <w:p>
            <w:pPr>
              <w:spacing w:line="312"/>
            </w:pPr>
            <w:r>
              <w:rPr>
                <w:rFonts w:ascii="Calibri" w:eastAsia="Microsoft YaHei"/>
                <w:b/>
                <w:bCs/>
                <w:color w:val="FFFFFF"/>
                <w:sz w:val="22"/>
                <w:szCs w:val="22"/>
              </w:rPr>
              <w:t xml:space="preserve">Var. Interanual (%)</w:t>
            </w:r>
          </w:p>
        </w:tc>
      </w:tr>
      <w:tr>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Agropecuária</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107,34</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+0,32</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+1,89</w:t>
            </w:r>
          </w:p>
        </w:tc>
      </w:tr>
      <w:tr>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Indústria</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107,89</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+0,45</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+2,15</w:t>
            </w:r>
          </w:p>
        </w:tc>
      </w:tr>
      <w:tr>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Serviços</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114,12</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+0,72</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+3,24</w:t>
            </w:r>
          </w:p>
        </w:tc>
      </w:tr>
    </w:tbl>
    <w:p>
      <w:pPr>
        <w:spacing w:after="200" w:before="120" w:line="312"/>
        <w:jc w:val="center"/>
      </w:pPr>
      <w:r>
        <w:rPr>
          <w:rFonts w:ascii="Calibri" w:eastAsia="Microsoft YaHei"/>
          <w:i/>
          <w:iCs/>
          <w:color w:val="606060"/>
          <w:sz w:val="21"/>
          <w:szCs w:val="21"/>
        </w:rPr>
        <w:t xml:space="preserve">Tabela 2: Índices setoriais com ajuste sazonal — Q4 2024 (SCNT/IBGE)</w:t>
      </w:r>
    </w:p>
    <w:p>
      <w:pPr>
        <w:pStyle w:val="Heading2"/>
        <w:spacing w:after="180" w:before="360" w:line="312"/>
      </w:pPr>
      <w:bookmarkStart w:id="100011" w:name="_Toc100011"/>
      <w:r>
        <w:rPr>
          <w:rFonts w:ascii="Calibri" w:eastAsia="SimHei"/>
          <w:b/>
          <w:bCs/>
          <w:color w:val="0B1C2C"/>
          <w:sz w:val="28"/>
          <w:szCs w:val="28"/>
        </w:rPr>
        <w:t xml:space="preserve">Dinâmica da Indústria e Agropecuária</w:t>
      </w:r>
      <w:bookmarkEnd w:id="100011"/>
    </w:p>
    <w:p>
      <w:pPr>
        <w:spacing w:after="120" w:line="312"/>
        <w:ind w:firstLine="480"/>
        <w:jc w:val="both"/>
      </w:pPr>
      <w:r>
        <w:rPr>
          <w:rFonts w:ascii="Calibri" w:eastAsia="Microsoft YaHei"/>
          <w:color w:val="000000"/>
          <w:sz w:val="24"/>
          <w:szCs w:val="24"/>
        </w:rPr>
        <w:t xml:space="preserve">A Indústria brasileira apresentou recuperação gradual após o choque pandêmico, mas enfrenta desafios estruturais que limitam seu potencial de crescimento. O índice de 107,89 no Q4 2024, embora significativamente superior ao patamar pré-pandemia, reflete as dificuldades do setor com custos de insumos, logística e competitividade internacional. A indústria de transformação e a construção civil foram os segmentos que mais contribuíram para o desempenho positivo do setor.</w:t>
      </w:r>
    </w:p>
    <w:p>
      <w:pPr>
        <w:spacing w:after="120" w:line="312"/>
        <w:ind w:firstLine="480"/>
        <w:jc w:val="both"/>
      </w:pPr>
      <w:r>
        <w:rPr>
          <w:rFonts w:ascii="Calibri" w:eastAsia="Microsoft YaHei"/>
          <w:color w:val="000000"/>
          <w:sz w:val="24"/>
          <w:szCs w:val="24"/>
        </w:rPr>
        <w:t xml:space="preserve">A Agropecuária, por sua vez, apresentou o menor índice entre os setores no Q4 2024 (107,34), resultado que pode ser atribuído às condições climáticas adversas que afetaram as safras em períodos recentes, além da volatilidade nos preços internacionais das commodities agrícolas. Ainda assim, o patamar atual está acima do verificado antes da pandemia, evidenciando a importância do agronegócio como âncora da economia brasileira e gerador de divisas.</w:t>
      </w:r>
    </w:p>
    <w:p>
      <w:pPr>
        <w:pStyle w:val="Heading1"/>
        <w:spacing w:after="240" w:before="480" w:line="312"/>
      </w:pPr>
      <w:bookmarkStart w:id="100012" w:name="_Toc100012"/>
      <w:r>
        <w:rPr>
          <w:rFonts w:ascii="Calibri" w:eastAsia="SimHei"/>
          <w:b/>
          <w:bCs/>
          <w:color w:val="0B1C2C"/>
          <w:sz w:val="32"/>
          <w:szCs w:val="32"/>
        </w:rPr>
        <w:t xml:space="preserve">Componentes da Despesa</w:t>
      </w:r>
      <w:bookmarkEnd w:id="100012"/>
    </w:p>
    <w:p>
      <w:pPr>
        <w:pStyle w:val="Heading2"/>
        <w:spacing w:after="180" w:before="360" w:line="312"/>
      </w:pPr>
      <w:bookmarkStart w:id="100013" w:name="_Toc100013"/>
      <w:r>
        <w:rPr>
          <w:rFonts w:ascii="Calibri" w:eastAsia="SimHei"/>
          <w:b/>
          <w:bCs/>
          <w:color w:val="0B1C2C"/>
          <w:sz w:val="28"/>
          <w:szCs w:val="28"/>
        </w:rPr>
        <w:t xml:space="preserve">Consumo das Famílias</w:t>
      </w:r>
      <w:bookmarkEnd w:id="100013"/>
    </w:p>
    <w:p>
      <w:pPr>
        <w:spacing w:after="120" w:line="312"/>
        <w:ind w:firstLine="480"/>
        <w:jc w:val="both"/>
      </w:pPr>
      <w:r>
        <w:rPr>
          <w:rFonts w:ascii="Calibri" w:eastAsia="Microsoft YaHei"/>
          <w:color w:val="000000"/>
          <w:sz w:val="24"/>
          <w:szCs w:val="24"/>
        </w:rPr>
        <w:t xml:space="preserve">O consumo das famílias, que constitui o principal componente da demanda interna no Brasil, registrou índice de 113,12 no quarto trimestre de 2024. Esse valor reflete a recuperação plena do poder de compra dos brasileiros após o período de restrições pandêmicas e indica a importância central da demanda interna como motor do crescimento econômico. O desempenho do consumo foi favorecido pela melhoria gradual do mercado de trabalho, pela política de reajustes do salário mínimo e pelos programas de transferência de renda.</w:t>
      </w:r>
    </w:p>
    <w:p>
      <w:pPr>
        <w:spacing w:after="120" w:line="312"/>
        <w:ind w:firstLine="480"/>
        <w:jc w:val="both"/>
      </w:pPr>
      <w:r>
        <w:rPr>
          <w:rFonts w:ascii="Calibri" w:eastAsia="Microsoft YaHei"/>
          <w:color w:val="000000"/>
          <w:sz w:val="24"/>
          <w:szCs w:val="24"/>
        </w:rPr>
        <w:t xml:space="preserve">A trajetória do consumo das famílias ao longo do período analisado acompanhou de perto o ciclo do PIB. Após a retração severa no segundo trimestre de 2020, o consumo recuperou-se de forma vigorosa, impulsionado pelo auxílio emergencial e pela liberação de recursos do FGTS e do PIS/Pasep. Nos anos seguintes, a sustentação do consumo foi garantida pela recomposição da renda e pela expansão do crédito, apesar do cenário de juros elevados.</w:t>
      </w:r>
    </w:p>
    <w:p>
      <w:pPr>
        <w:pStyle w:val="Heading2"/>
        <w:spacing w:after="180" w:before="360" w:line="312"/>
      </w:pPr>
      <w:bookmarkStart w:id="100014" w:name="_Toc100014"/>
      <w:r>
        <w:rPr>
          <w:rFonts w:ascii="Calibri" w:eastAsia="SimHei"/>
          <w:b/>
          <w:bCs/>
          <w:color w:val="0B1C2C"/>
          <w:sz w:val="28"/>
          <w:szCs w:val="28"/>
        </w:rPr>
        <w:t xml:space="preserve">Outros Componentes da Demanda</w:t>
      </w:r>
      <w:bookmarkEnd w:id="100014"/>
    </w:p>
    <w:p>
      <w:pPr>
        <w:spacing w:after="120" w:line="312"/>
        <w:ind w:firstLine="480"/>
        <w:jc w:val="both"/>
      </w:pPr>
      <w:r>
        <w:rPr>
          <w:rFonts w:ascii="Calibri" w:eastAsia="Microsoft YaHei"/>
          <w:color w:val="000000"/>
          <w:sz w:val="24"/>
          <w:szCs w:val="24"/>
        </w:rPr>
        <w:t xml:space="preserve">Além do consumo das famílias, os demais componentes da ótica da despesa — investimento (formação bruta de capital fixo), consumo do governo e exportações líquidas — também contribuíram para a trajetória do PIB. O investimento, que tende a ser o componente mais volátil, apresentou recuperação parcial, condicionado pelo ciclo de juros e pela incerteza do ambiente econômico. O consumo do governo manteve-se relativamente estável, refletindo as limitações fiscais enfrentadas pelo setor público.</w:t>
      </w:r>
    </w:p>
    <w:tbl>
      <w:tblPr>
        <w:tblW w:type="pct" w:w="100%"/>
        <w:tblBorders>
          <w:top w:val="single" w:color="529286" w:sz="2"/>
          <w:left w:val="none"/>
          <w:bottom w:val="single" w:color="529286" w:sz="2"/>
          <w:right w:val="none"/>
          <w:insideH w:val="single" w:color="BECFCC" w:sz="1"/>
          <w:insideV w:val="none"/>
        </w:tblBorders>
      </w:tblPr>
      <w:tblGrid>
        <w:gridCol w:w="100"/>
        <w:gridCol w:w="100"/>
        <w:gridCol w:w="100"/>
      </w:tblGrid>
      <w:tr>
        <w:tc>
          <w:tcPr>
            <w:tcW w:type="pct" w:w="33%"/>
            <w:shd w:fill="529286" w:val="clear"/>
            <w:tcMar>
              <w:top w:type="dxa" w:w="80"/>
              <w:left w:type="dxa" w:w="120"/>
              <w:bottom w:type="dxa" w:w="80"/>
              <w:right w:type="dxa" w:w="120"/>
            </w:tcMar>
          </w:tcPr>
          <w:p>
            <w:pPr>
              <w:spacing w:line="312"/>
            </w:pPr>
            <w:r>
              <w:rPr>
                <w:rFonts w:ascii="Calibri" w:eastAsia="Microsoft YaHei"/>
                <w:b/>
                <w:bCs/>
                <w:color w:val="FFFFFF"/>
                <w:sz w:val="22"/>
                <w:szCs w:val="22"/>
              </w:rPr>
              <w:t xml:space="preserve">Componente</w:t>
            </w:r>
          </w:p>
        </w:tc>
        <w:tc>
          <w:tcPr>
            <w:tcW w:type="pct" w:w="33%"/>
            <w:shd w:fill="529286" w:val="clear"/>
            <w:tcMar>
              <w:top w:type="dxa" w:w="80"/>
              <w:left w:type="dxa" w:w="120"/>
              <w:bottom w:type="dxa" w:w="80"/>
              <w:right w:type="dxa" w:w="120"/>
            </w:tcMar>
          </w:tcPr>
          <w:p>
            <w:pPr>
              <w:spacing w:line="312"/>
            </w:pPr>
            <w:r>
              <w:rPr>
                <w:rFonts w:ascii="Calibri" w:eastAsia="Microsoft YaHei"/>
                <w:b/>
                <w:bCs/>
                <w:color w:val="FFFFFF"/>
                <w:sz w:val="22"/>
                <w:szCs w:val="22"/>
              </w:rPr>
              <w:t xml:space="preserve">Índice Q4 2024</w:t>
            </w:r>
          </w:p>
        </w:tc>
        <w:tc>
          <w:tcPr>
            <w:tcW w:type="pct" w:w="33%"/>
            <w:shd w:fill="529286" w:val="clear"/>
            <w:tcMar>
              <w:top w:type="dxa" w:w="80"/>
              <w:left w:type="dxa" w:w="120"/>
              <w:bottom w:type="dxa" w:w="80"/>
              <w:right w:type="dxa" w:w="120"/>
            </w:tcMar>
          </w:tcPr>
          <w:p>
            <w:pPr>
              <w:spacing w:line="312"/>
            </w:pPr>
            <w:r>
              <w:rPr>
                <w:rFonts w:ascii="Calibri" w:eastAsia="Microsoft YaHei"/>
                <w:b/>
                <w:bCs/>
                <w:color w:val="FFFFFF"/>
                <w:sz w:val="22"/>
                <w:szCs w:val="22"/>
              </w:rPr>
              <w:t xml:space="preserve">Var. Interanual (%)</w:t>
            </w:r>
          </w:p>
        </w:tc>
      </w:tr>
      <w:tr>
        <w:tc>
          <w:tcPr>
            <w:tcW w:type="pct" w:w="33%"/>
            <w:tcMar>
              <w:top w:type="dxa" w:w="60"/>
              <w:left w:type="dxa" w:w="120"/>
              <w:bottom w:type="dxa" w:w="60"/>
              <w:right w:type="dxa" w:w="120"/>
            </w:tcMar>
          </w:tcPr>
          <w:p>
            <w:pPr>
              <w:spacing w:line="312"/>
            </w:pPr>
            <w:r>
              <w:rPr>
                <w:rFonts w:ascii="Calibri" w:eastAsia="Microsoft YaHei"/>
                <w:color w:val="000000"/>
                <w:sz w:val="22"/>
                <w:szCs w:val="22"/>
              </w:rPr>
              <w:t xml:space="preserve">Consumo das Famílias</w:t>
            </w:r>
          </w:p>
        </w:tc>
        <w:tc>
          <w:tcPr>
            <w:tcW w:type="pct" w:w="33%"/>
            <w:tcMar>
              <w:top w:type="dxa" w:w="60"/>
              <w:left w:type="dxa" w:w="120"/>
              <w:bottom w:type="dxa" w:w="60"/>
              <w:right w:type="dxa" w:w="120"/>
            </w:tcMar>
          </w:tcPr>
          <w:p>
            <w:pPr>
              <w:spacing w:line="312"/>
            </w:pPr>
            <w:r>
              <w:rPr>
                <w:rFonts w:ascii="Calibri" w:eastAsia="Microsoft YaHei"/>
                <w:color w:val="000000"/>
                <w:sz w:val="22"/>
                <w:szCs w:val="22"/>
              </w:rPr>
              <w:t xml:space="preserve">113,12</w:t>
            </w:r>
          </w:p>
        </w:tc>
        <w:tc>
          <w:tcPr>
            <w:tcW w:type="pct" w:w="33%"/>
            <w:tcMar>
              <w:top w:type="dxa" w:w="60"/>
              <w:left w:type="dxa" w:w="120"/>
              <w:bottom w:type="dxa" w:w="60"/>
              <w:right w:type="dxa" w:w="120"/>
            </w:tcMar>
          </w:tcPr>
          <w:p>
            <w:pPr>
              <w:spacing w:line="312"/>
            </w:pPr>
            <w:r>
              <w:rPr>
                <w:rFonts w:ascii="Calibri" w:eastAsia="Microsoft YaHei"/>
                <w:color w:val="000000"/>
                <w:sz w:val="22"/>
                <w:szCs w:val="22"/>
              </w:rPr>
              <w:t xml:space="preserve">+2,95</w:t>
            </w:r>
          </w:p>
        </w:tc>
      </w:tr>
      <w:tr>
        <w:tc>
          <w:tcPr>
            <w:tcW w:type="pct" w:w="33%"/>
            <w:tcMar>
              <w:top w:type="dxa" w:w="60"/>
              <w:left w:type="dxa" w:w="120"/>
              <w:bottom w:type="dxa" w:w="60"/>
              <w:right w:type="dxa" w:w="120"/>
            </w:tcMar>
          </w:tcPr>
          <w:p>
            <w:pPr>
              <w:spacing w:line="312"/>
            </w:pPr>
            <w:r>
              <w:rPr>
                <w:rFonts w:ascii="Calibri" w:eastAsia="Microsoft YaHei"/>
                <w:color w:val="000000"/>
                <w:sz w:val="22"/>
                <w:szCs w:val="22"/>
              </w:rPr>
              <w:t xml:space="preserve">Formação Bruta de Capital Fixo</w:t>
            </w:r>
          </w:p>
        </w:tc>
        <w:tc>
          <w:tcPr>
            <w:tcW w:type="pct" w:w="33%"/>
            <w:tcMar>
              <w:top w:type="dxa" w:w="60"/>
              <w:left w:type="dxa" w:w="120"/>
              <w:bottom w:type="dxa" w:w="60"/>
              <w:right w:type="dxa" w:w="120"/>
            </w:tcMar>
          </w:tcPr>
          <w:p>
            <w:pPr>
              <w:spacing w:line="312"/>
            </w:pPr>
            <w:r>
              <w:rPr>
                <w:rFonts w:ascii="Calibri" w:eastAsia="Microsoft YaHei"/>
                <w:color w:val="000000"/>
                <w:sz w:val="22"/>
                <w:szCs w:val="22"/>
              </w:rPr>
              <w:t xml:space="preserve">105,78</w:t>
            </w:r>
          </w:p>
        </w:tc>
        <w:tc>
          <w:tcPr>
            <w:tcW w:type="pct" w:w="33%"/>
            <w:tcMar>
              <w:top w:type="dxa" w:w="60"/>
              <w:left w:type="dxa" w:w="120"/>
              <w:bottom w:type="dxa" w:w="60"/>
              <w:right w:type="dxa" w:w="120"/>
            </w:tcMar>
          </w:tcPr>
          <w:p>
            <w:pPr>
              <w:spacing w:line="312"/>
            </w:pPr>
            <w:r>
              <w:rPr>
                <w:rFonts w:ascii="Calibri" w:eastAsia="Microsoft YaHei"/>
                <w:color w:val="000000"/>
                <w:sz w:val="22"/>
                <w:szCs w:val="22"/>
              </w:rPr>
              <w:t xml:space="preserve">+1,65</w:t>
            </w:r>
          </w:p>
        </w:tc>
      </w:tr>
      <w:tr>
        <w:tc>
          <w:tcPr>
            <w:tcW w:type="pct" w:w="33%"/>
            <w:tcMar>
              <w:top w:type="dxa" w:w="60"/>
              <w:left w:type="dxa" w:w="120"/>
              <w:bottom w:type="dxa" w:w="60"/>
              <w:right w:type="dxa" w:w="120"/>
            </w:tcMar>
          </w:tcPr>
          <w:p>
            <w:pPr>
              <w:spacing w:line="312"/>
            </w:pPr>
            <w:r>
              <w:rPr>
                <w:rFonts w:ascii="Calibri" w:eastAsia="Microsoft YaHei"/>
                <w:color w:val="000000"/>
                <w:sz w:val="22"/>
                <w:szCs w:val="22"/>
              </w:rPr>
              <w:t xml:space="preserve">Consumo do Governo</w:t>
            </w:r>
          </w:p>
        </w:tc>
        <w:tc>
          <w:tcPr>
            <w:tcW w:type="pct" w:w="33%"/>
            <w:tcMar>
              <w:top w:type="dxa" w:w="60"/>
              <w:left w:type="dxa" w:w="120"/>
              <w:bottom w:type="dxa" w:w="60"/>
              <w:right w:type="dxa" w:w="120"/>
            </w:tcMar>
          </w:tcPr>
          <w:p>
            <w:pPr>
              <w:spacing w:line="312"/>
            </w:pPr>
            <w:r>
              <w:rPr>
                <w:rFonts w:ascii="Calibri" w:eastAsia="Microsoft YaHei"/>
                <w:color w:val="000000"/>
                <w:sz w:val="22"/>
                <w:szCs w:val="22"/>
              </w:rPr>
              <w:t xml:space="preserve">109,45</w:t>
            </w:r>
          </w:p>
        </w:tc>
        <w:tc>
          <w:tcPr>
            <w:tcW w:type="pct" w:w="33%"/>
            <w:tcMar>
              <w:top w:type="dxa" w:w="60"/>
              <w:left w:type="dxa" w:w="120"/>
              <w:bottom w:type="dxa" w:w="60"/>
              <w:right w:type="dxa" w:w="120"/>
            </w:tcMar>
          </w:tcPr>
          <w:p>
            <w:pPr>
              <w:spacing w:line="312"/>
            </w:pPr>
            <w:r>
              <w:rPr>
                <w:rFonts w:ascii="Calibri" w:eastAsia="Microsoft YaHei"/>
                <w:color w:val="000000"/>
                <w:sz w:val="22"/>
                <w:szCs w:val="22"/>
              </w:rPr>
              <w:t xml:space="preserve">+2,12</w:t>
            </w:r>
          </w:p>
        </w:tc>
      </w:tr>
    </w:tbl>
    <w:p>
      <w:pPr>
        <w:spacing w:after="200" w:before="120" w:line="312"/>
        <w:jc w:val="center"/>
      </w:pPr>
      <w:r>
        <w:rPr>
          <w:rFonts w:ascii="Calibri" w:eastAsia="Microsoft YaHei"/>
          <w:i/>
          <w:iCs/>
          <w:color w:val="606060"/>
          <w:sz w:val="21"/>
          <w:szCs w:val="21"/>
        </w:rPr>
        <w:t xml:space="preserve">Tabela 3: Componentes da despesa — Índices com ajuste sazonal, Q4 2024 (SCNT/IBGE)</w:t>
      </w:r>
    </w:p>
    <w:p>
      <w:pPr>
        <w:spacing w:after="120" w:line="312"/>
        <w:ind w:firstLine="480"/>
        <w:jc w:val="both"/>
      </w:pPr>
      <w:r>
        <w:rPr>
          <w:rFonts w:ascii="Calibri" w:eastAsia="Microsoft YaHei"/>
          <w:color w:val="000000"/>
          <w:sz w:val="24"/>
          <w:szCs w:val="24"/>
        </w:rPr>
        <w:t xml:space="preserve">O comércio exterior apresentou contribuição mista ao longo do período. As exportações beneficiaram-se da valorização das commodities e da desvalorização cambial, enquanto as importações foram impulsionadas pela recuperação da demanda interna e pela necessidade de insumos para a produção industrial. O saldo líquido do comércio exterior apresentou variações significativas entre os trimestres, contribuindo de forma diferenciada para o crescimento do PIB.</w:t>
      </w:r>
    </w:p>
    <w:p>
      <w:pPr>
        <w:pStyle w:val="Heading1"/>
        <w:spacing w:after="240" w:before="480" w:line="312"/>
      </w:pPr>
      <w:bookmarkStart w:id="100015" w:name="_Toc100015"/>
      <w:r>
        <w:rPr>
          <w:rFonts w:ascii="Calibri" w:eastAsia="SimHei"/>
          <w:b/>
          <w:bCs/>
          <w:color w:val="0B1C2C"/>
          <w:sz w:val="32"/>
          <w:szCs w:val="32"/>
        </w:rPr>
        <w:t xml:space="preserve">Impacto da Pandemia e Recuperação</w:t>
      </w:r>
      <w:bookmarkEnd w:id="100015"/>
    </w:p>
    <w:p>
      <w:pPr>
        <w:pStyle w:val="Heading2"/>
        <w:spacing w:after="180" w:before="360" w:line="312"/>
      </w:pPr>
      <w:bookmarkStart w:id="100016" w:name="_Toc100016"/>
      <w:r>
        <w:rPr>
          <w:rFonts w:ascii="Calibri" w:eastAsia="SimHei"/>
          <w:b/>
          <w:bCs/>
          <w:color w:val="0B1C2C"/>
          <w:sz w:val="28"/>
          <w:szCs w:val="28"/>
        </w:rPr>
        <w:t xml:space="preserve">O Choque de 2020</w:t>
      </w:r>
      <w:bookmarkEnd w:id="100016"/>
    </w:p>
    <w:p>
      <w:pPr>
        <w:spacing w:after="120" w:line="312"/>
        <w:ind w:firstLine="480"/>
        <w:jc w:val="both"/>
      </w:pPr>
      <w:r>
        <w:rPr>
          <w:rFonts w:ascii="Calibri" w:eastAsia="Microsoft YaHei"/>
          <w:color w:val="000000"/>
          <w:sz w:val="24"/>
          <w:szCs w:val="24"/>
        </w:rPr>
        <w:t xml:space="preserve">A pandemia de COVID-19 provocou o mais severo choque econômico já registrado na série histórica do SCNT. No segundo trimestre de 2020, o PIB brasileiro contraiu-se 9,6% em relação ao trimestre anterior, com o índice caindo de 96,84 para 85,23. Essa contração foi generalizada, atingindo todos os setores econômicos, com destaque para os Serviços — particularmente aqueles que dependem de interação presencial, como turismo, hospedagem e alimentação — e a Indústria, afetada pela interrupção das cadeias globais de suprimento.</w:t>
      </w:r>
    </w:p>
    <w:p>
      <w:pPr>
        <w:spacing w:after="120" w:line="312"/>
        <w:ind w:firstLine="480"/>
        <w:jc w:val="both"/>
      </w:pPr>
      <w:r>
        <w:rPr>
          <w:rFonts w:ascii="Calibri" w:eastAsia="Microsoft YaHei"/>
          <w:color w:val="000000"/>
          <w:sz w:val="24"/>
          <w:szCs w:val="24"/>
        </w:rPr>
        <w:t xml:space="preserve">A magnitude do choque refletiu não apenas as medidas de restrição adotadas pelos governos estaduais e municipais, mas também a incerteza generalizada que levou empresas e famílias a reduzirem investimentos e consumos. O mercado de trabalho foi severamente impactado, com aumento expressivo da taxa de desocupação e redução da renda média dos trabalhadores, o que amplificou os efeitos recessivos sobre a demanda agregada.</w:t>
      </w:r>
    </w:p>
    <w:p>
      <w:pPr>
        <w:pStyle w:val="Heading2"/>
        <w:spacing w:after="180" w:before="360" w:line="312"/>
      </w:pPr>
      <w:bookmarkStart w:id="100017" w:name="_Toc100017"/>
      <w:r>
        <w:rPr>
          <w:rFonts w:ascii="Calibri" w:eastAsia="SimHei"/>
          <w:b/>
          <w:bCs/>
          <w:color w:val="0B1C2C"/>
          <w:sz w:val="28"/>
          <w:szCs w:val="28"/>
        </w:rPr>
        <w:t xml:space="preserve">A Recuperação Econômica</w:t>
      </w:r>
      <w:bookmarkEnd w:id="100017"/>
    </w:p>
    <w:p>
      <w:pPr>
        <w:spacing w:after="120" w:line="312"/>
        <w:ind w:firstLine="480"/>
        <w:jc w:val="both"/>
      </w:pPr>
      <w:r>
        <w:rPr>
          <w:rFonts w:ascii="Calibri" w:eastAsia="Microsoft YaHei"/>
          <w:color w:val="000000"/>
          <w:sz w:val="24"/>
          <w:szCs w:val="24"/>
        </w:rPr>
        <w:t xml:space="preserve">A recuperação econômica iniciou-se ainda em 2020 e seguiu de forma vigorosa até 2022. A sequência de crescimento do índice do PIB — de 85,23 (Q2 2020) para 90,12 (Q3 2020), 93,45 (Q4 2020) e 95,67 (Q1 2021) — demonstra a intensidade da retomada. Diversos fatores contribuíram para essa recuperação: as políticas de transferência de renda (auxílio emergencial), a reabertura progressiva da economia, a política monetária acomodatícia com taxa Selic em patamar histórico de 2% ao ano, e a aceleração da vacinação que restabeleceu a confiança de consumidores e investidores.</w:t>
      </w:r>
    </w:p>
    <w:p>
      <w:pPr>
        <w:spacing w:after="120" w:line="312"/>
        <w:ind w:firstLine="480"/>
        <w:jc w:val="both"/>
      </w:pPr>
      <w:r>
        <w:rPr>
          <w:rFonts w:ascii="Calibri" w:eastAsia="Microsoft YaHei"/>
          <w:color w:val="000000"/>
          <w:sz w:val="24"/>
          <w:szCs w:val="24"/>
        </w:rPr>
        <w:t xml:space="preserve">A partir de 2022, o ritmo de crescimento desacelerou-se para patamares mais moderados, refletindo o ciclo de aperto monetário iniciado pelo Banco Central para conter as pressões inflacionárias. A taxa Selic foi elevada de 2% para 13,75% entre março de 2021 e agosto de 2022, impactando o custo do crédito e desestimulando o investimento. Ainda assim, a economia manteve crescimento positivo, sustentado pelo consumo das famílias e pelo mercado de trabalho em recuperação.</w:t>
      </w:r>
    </w:p>
    <w:tbl>
      <w:tblPr>
        <w:tblW w:type="pct" w:w="100%"/>
        <w:tblBorders>
          <w:top w:val="single" w:color="529286" w:sz="2"/>
          <w:left w:val="none"/>
          <w:bottom w:val="single" w:color="529286" w:sz="2"/>
          <w:right w:val="none"/>
          <w:insideH w:val="single" w:color="BECFCC" w:sz="1"/>
          <w:insideV w:val="none"/>
        </w:tblBorders>
      </w:tblPr>
      <w:tblGrid>
        <w:gridCol w:w="100"/>
        <w:gridCol w:w="100"/>
        <w:gridCol w:w="100"/>
        <w:gridCol w:w="100"/>
      </w:tblGrid>
      <w:tr>
        <w:tc>
          <w:tcPr>
            <w:tcW w:type="pct" w:w="25%"/>
            <w:shd w:fill="529286" w:val="clear"/>
            <w:tcMar>
              <w:top w:type="dxa" w:w="80"/>
              <w:left w:type="dxa" w:w="120"/>
              <w:bottom w:type="dxa" w:w="80"/>
              <w:right w:type="dxa" w:w="120"/>
            </w:tcMar>
          </w:tcPr>
          <w:p>
            <w:pPr>
              <w:spacing w:line="312"/>
            </w:pPr>
            <w:r>
              <w:rPr>
                <w:rFonts w:ascii="Calibri" w:eastAsia="Microsoft YaHei"/>
                <w:b/>
                <w:bCs/>
                <w:color w:val="FFFFFF"/>
                <w:sz w:val="22"/>
                <w:szCs w:val="22"/>
              </w:rPr>
              <w:t xml:space="preserve">Período</w:t>
            </w:r>
          </w:p>
        </w:tc>
        <w:tc>
          <w:tcPr>
            <w:tcW w:type="pct" w:w="25%"/>
            <w:shd w:fill="529286" w:val="clear"/>
            <w:tcMar>
              <w:top w:type="dxa" w:w="80"/>
              <w:left w:type="dxa" w:w="120"/>
              <w:bottom w:type="dxa" w:w="80"/>
              <w:right w:type="dxa" w:w="120"/>
            </w:tcMar>
          </w:tcPr>
          <w:p>
            <w:pPr>
              <w:spacing w:line="312"/>
            </w:pPr>
            <w:r>
              <w:rPr>
                <w:rFonts w:ascii="Calibri" w:eastAsia="Microsoft YaHei"/>
                <w:b/>
                <w:bCs/>
                <w:color w:val="FFFFFF"/>
                <w:sz w:val="22"/>
                <w:szCs w:val="22"/>
              </w:rPr>
              <w:t xml:space="preserve">Índice PIB</w:t>
            </w:r>
          </w:p>
        </w:tc>
        <w:tc>
          <w:tcPr>
            <w:tcW w:type="pct" w:w="25%"/>
            <w:shd w:fill="529286" w:val="clear"/>
            <w:tcMar>
              <w:top w:type="dxa" w:w="80"/>
              <w:left w:type="dxa" w:w="120"/>
              <w:bottom w:type="dxa" w:w="80"/>
              <w:right w:type="dxa" w:w="120"/>
            </w:tcMar>
          </w:tcPr>
          <w:p>
            <w:pPr>
              <w:spacing w:line="312"/>
            </w:pPr>
            <w:r>
              <w:rPr>
                <w:rFonts w:ascii="Calibri" w:eastAsia="Microsoft YaHei"/>
                <w:b/>
                <w:bCs/>
                <w:color w:val="FFFFFF"/>
                <w:sz w:val="22"/>
                <w:szCs w:val="22"/>
              </w:rPr>
              <w:t xml:space="preserve">Variação</w:t>
            </w:r>
          </w:p>
        </w:tc>
        <w:tc>
          <w:tcPr>
            <w:tcW w:type="pct" w:w="25%"/>
            <w:shd w:fill="529286" w:val="clear"/>
            <w:tcMar>
              <w:top w:type="dxa" w:w="80"/>
              <w:left w:type="dxa" w:w="120"/>
              <w:bottom w:type="dxa" w:w="80"/>
              <w:right w:type="dxa" w:w="120"/>
            </w:tcMar>
          </w:tcPr>
          <w:p>
            <w:pPr>
              <w:spacing w:line="312"/>
            </w:pPr>
            <w:r>
              <w:rPr>
                <w:rFonts w:ascii="Calibri" w:eastAsia="Microsoft YaHei"/>
                <w:b/>
                <w:bCs/>
                <w:color w:val="FFFFFF"/>
                <w:sz w:val="22"/>
                <w:szCs w:val="22"/>
              </w:rPr>
              <w:t xml:space="preserve">Fase</w:t>
            </w:r>
          </w:p>
        </w:tc>
      </w:tr>
      <w:tr>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Q1 2020</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96,84</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Pré-pandemia</w:t>
            </w:r>
          </w:p>
        </w:tc>
      </w:tr>
      <w:tr>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Q2 2020</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85,23</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-9,60%</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Choque pandêmico</w:t>
            </w:r>
          </w:p>
        </w:tc>
      </w:tr>
      <w:tr>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Q3 2020</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90,12</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+5,73%</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Início da recuperação</w:t>
            </w:r>
          </w:p>
        </w:tc>
      </w:tr>
      <w:tr>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Q4 2020</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93,45</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+3,70%</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Recuperação parcial</w:t>
            </w:r>
          </w:p>
        </w:tc>
      </w:tr>
      <w:tr>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Q1 2021</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95,67</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+2,38%</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Quase retorno ao pré-pandemia</w:t>
            </w:r>
          </w:p>
        </w:tc>
      </w:tr>
      <w:tr>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Q4 2024</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112,23</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+0,60% (tq)</w:t>
            </w:r>
          </w:p>
        </w:tc>
        <w:tc>
          <w:tcPr>
            <w:tcW w:type="pct" w:w="25%"/>
            <w:tcMar>
              <w:top w:type="dxa" w:w="60"/>
              <w:left w:type="dxa" w:w="120"/>
              <w:bottom w:type="dxa" w:w="60"/>
              <w:right w:type="dxa" w:w="120"/>
            </w:tcMar>
          </w:tcPr>
          <w:p>
            <w:pPr>
              <w:spacing w:line="312"/>
            </w:pPr>
            <w:r>
              <w:rPr>
                <w:rFonts w:ascii="Calibri" w:eastAsia="Microsoft YaHei"/>
                <w:color w:val="000000"/>
                <w:sz w:val="22"/>
                <w:szCs w:val="22"/>
              </w:rPr>
              <w:t xml:space="preserve">Crescimento sustentado</w:t>
            </w:r>
          </w:p>
        </w:tc>
      </w:tr>
    </w:tbl>
    <w:p>
      <w:pPr>
        <w:spacing w:after="200" w:before="120" w:line="312"/>
        <w:jc w:val="center"/>
      </w:pPr>
      <w:r>
        <w:rPr>
          <w:rFonts w:ascii="Calibri" w:eastAsia="Microsoft YaHei"/>
          <w:i/>
          <w:iCs/>
          <w:color w:val="606060"/>
          <w:sz w:val="21"/>
          <w:szCs w:val="21"/>
        </w:rPr>
        <w:t xml:space="preserve">Tabela 4: Fases do ciclo econômico — Impacto da pandemia e recuperação (SCNT/IBGE)</w:t>
      </w:r>
    </w:p>
    <w:p>
      <w:pPr>
        <w:pStyle w:val="Heading2"/>
        <w:spacing w:after="180" w:before="360" w:line="312"/>
      </w:pPr>
      <w:bookmarkStart w:id="100018" w:name="_Toc100018"/>
      <w:r>
        <w:rPr>
          <w:rFonts w:ascii="Calibri" w:eastAsia="SimHei"/>
          <w:b/>
          <w:bCs/>
          <w:color w:val="0B1C2C"/>
          <w:sz w:val="28"/>
          <w:szCs w:val="28"/>
        </w:rPr>
        <w:t xml:space="preserve">Lições do Período Pandêmico</w:t>
      </w:r>
      <w:bookmarkEnd w:id="100018"/>
    </w:p>
    <w:p>
      <w:pPr>
        <w:spacing w:after="120" w:line="312"/>
        <w:ind w:firstLine="480"/>
        <w:jc w:val="both"/>
      </w:pPr>
      <w:r>
        <w:rPr>
          <w:rFonts w:ascii="Calibri" w:eastAsia="Microsoft YaHei"/>
          <w:color w:val="000000"/>
          <w:sz w:val="24"/>
          <w:szCs w:val="24"/>
        </w:rPr>
        <w:t xml:space="preserve">A experiência da pandemia ofereceu lições importantes sobre a resiliência da economia brasileira. Em primeiro lugar, constatou-se que as políticas de proteção da renda são fundamentais para amortecer choques exógenos e preservar a capacidade de recuperação da demanda agregada. Em segundo lugar, verificou-se que a diversificação setorial e a flexibilidade de adaptação — especialmente por meio da digitalização — são fatores críticos de resiliência. Por fim, a velocidade da recuperação evidenciou a importância de políticas coordenadas entre as esferas fiscal, monetária e sanitária.</w:t>
      </w:r>
    </w:p>
    <w:p>
      <w:pPr>
        <w:pStyle w:val="Heading1"/>
        <w:spacing w:after="240" w:before="480" w:line="312"/>
      </w:pPr>
      <w:bookmarkStart w:id="100019" w:name="_Toc100019"/>
      <w:r>
        <w:rPr>
          <w:rFonts w:ascii="Calibri" w:eastAsia="SimHei"/>
          <w:b/>
          <w:bCs/>
          <w:color w:val="0B1C2C"/>
          <w:sz w:val="32"/>
          <w:szCs w:val="32"/>
        </w:rPr>
        <w:t xml:space="preserve">Conclusões e Considerações</w:t>
      </w:r>
      <w:bookmarkEnd w:id="100019"/>
    </w:p>
    <w:p>
      <w:pPr>
        <w:pStyle w:val="Heading2"/>
        <w:spacing w:after="180" w:before="360" w:line="312"/>
      </w:pPr>
      <w:bookmarkStart w:id="100020" w:name="_Toc100020"/>
      <w:r>
        <w:rPr>
          <w:rFonts w:ascii="Calibri" w:eastAsia="SimHei"/>
          <w:b/>
          <w:bCs/>
          <w:color w:val="0B1C2C"/>
          <w:sz w:val="28"/>
          <w:szCs w:val="28"/>
        </w:rPr>
        <w:t xml:space="preserve">Síntese dos Resultados</w:t>
      </w:r>
      <w:bookmarkEnd w:id="100020"/>
    </w:p>
    <w:p>
      <w:pPr>
        <w:spacing w:after="120" w:line="312"/>
        <w:ind w:firstLine="480"/>
        <w:jc w:val="both"/>
      </w:pPr>
      <w:r>
        <w:rPr>
          <w:rFonts w:ascii="Calibri" w:eastAsia="Microsoft YaHei"/>
          <w:color w:val="000000"/>
          <w:sz w:val="24"/>
          <w:szCs w:val="24"/>
        </w:rPr>
        <w:t xml:space="preserve">A análise dos dados do SCNT revela que a economia brasileira atravessou um ciclo completo de choque e recuperação entre 2020 e 2024, atingindo patamares de atividade significativamente superiores aos verificados antes da pandemia. O índice do PIB com ajuste sazonal passou de 96,84 no primeiro trimestre de 2020 para 112,23 no quarto trimestre de 2024, representando um avanço acumulado de 15,9% ao longo do período, apesar da contração sem precedentes registrada no segundo trimestre de 2020.</w:t>
      </w:r>
    </w:p>
    <w:p>
      <w:pPr>
        <w:spacing w:after="120" w:line="312"/>
        <w:ind w:firstLine="480"/>
        <w:jc w:val="both"/>
      </w:pPr>
      <w:r>
        <w:rPr>
          <w:rFonts w:ascii="Calibri" w:eastAsia="Microsoft YaHei"/>
          <w:color w:val="000000"/>
          <w:sz w:val="24"/>
          <w:szCs w:val="24"/>
        </w:rPr>
        <w:t xml:space="preserve">O setor de Serviços consolidou-se como o principal motor do crescimento, com índice de 114,12 no Q4 2024, refletindo a resiliência e a adaptabilidade do setor. A Indústria e a Agropecuária também registraram avanços expressivos, embora enfrentem desafios específicos relacionados a custos, logística e condições climáticas. O consumo das famílias, medido pelo índice de 113,12, confirma sua centralidade na dinâmica econômica brasileira e sua capacidade de sustentar o crescimento mesmo em cenários de juros elevados.</w:t>
      </w:r>
    </w:p>
    <w:p>
      <w:pPr>
        <w:pStyle w:val="Heading2"/>
        <w:spacing w:after="180" w:before="360" w:line="312"/>
      </w:pPr>
      <w:bookmarkStart w:id="100021" w:name="_Toc100021"/>
      <w:r>
        <w:rPr>
          <w:rFonts w:ascii="Calibri" w:eastAsia="SimHei"/>
          <w:b/>
          <w:bCs/>
          <w:color w:val="0B1C2C"/>
          <w:sz w:val="28"/>
          <w:szCs w:val="28"/>
        </w:rPr>
        <w:t xml:space="preserve">Considerações e Perspectivas</w:t>
      </w:r>
      <w:bookmarkEnd w:id="100021"/>
    </w:p>
    <w:p>
      <w:pPr>
        <w:spacing w:after="120" w:line="312"/>
        <w:ind w:firstLine="480"/>
        <w:jc w:val="both"/>
      </w:pPr>
      <w:r>
        <w:rPr>
          <w:rFonts w:ascii="Calibri" w:eastAsia="Microsoft YaHei"/>
          <w:color w:val="000000"/>
          <w:sz w:val="24"/>
          <w:szCs w:val="24"/>
        </w:rPr>
        <w:t xml:space="preserve">Para os próximos trimestres, a trajetória do PIB brasileiro dependerá de múltiplos fatores, incluindo a direção da política monetária, a sustentabilidade fiscal, o cenário externo e as condições climáticas que afetam o setor agropecuário. A manutenção do crescimento em patamares semelhantes aos registrados recentemente dependerá da capacidade de equilibrar o estímulo à atividade econômica com a responsabilidade fiscal e o controle inflacionário.</w:t>
      </w:r>
    </w:p>
    <w:p>
      <w:pPr>
        <w:spacing w:after="120" w:line="312"/>
        <w:ind w:firstLine="480"/>
        <w:jc w:val="both"/>
      </w:pPr>
      <w:r>
        <w:rPr>
          <w:rFonts w:ascii="Calibri" w:eastAsia="Microsoft YaHei"/>
          <w:color w:val="000000"/>
          <w:sz w:val="24"/>
          <w:szCs w:val="24"/>
        </w:rPr>
        <w:t xml:space="preserve">Recomenda-se o monitoramento contínuo dos indicadores do SCNT, com atenção especial aos sinais de desaceleração setorial e às variações nos componentes da despesa. A plataforma de visualização disponível em https://my-project-steel-two.vercel.app constitui uma ferramenta valiosa para o acompanhamento em tempo real desses indicadores, facilitando a análise comparativa e a identificação precoce de tendências e inflexões na trajetória econômica.</w:t>
      </w:r>
    </w:p>
    <w:p>
      <w:pPr>
        <w:spacing w:after="120" w:line="312"/>
        <w:ind w:firstLine="480"/>
        <w:jc w:val="both"/>
      </w:pPr>
      <w:r>
        <w:rPr>
          <w:rFonts w:ascii="Calibri" w:eastAsia="Microsoft YaHei"/>
          <w:color w:val="000000"/>
          <w:sz w:val="24"/>
          <w:szCs w:val="24"/>
        </w:rPr>
        <w:t xml:space="preserve">Em suma, os dados do SCNT até o quarto trimestre de 2024 indicam que a economia brasileira encontra-se em fase de crescimento moderado e sustentado, com todos os setores em patamares superiores aos pré-pandemia. A resiliência demonstrada ao longo do período analisado é um indicador positivo, mas a manutenção dessa trajetória dependerá de políticas econômicas prudentes e de condições externas favoráveis.</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eastAsia="Microsoft YaHei"/>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eastAsia="Microsoft YaHe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eastAsia="Microsoft YaHei"/>
        <w:color w:val="808080"/>
        <w:sz w:val="18"/>
        <w:szCs w:val="18"/>
      </w:rPr>
      <w:t xml:space="preserve">Relatório SCNT — IBGE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eastAsia="Microsoft YaHei"/>
        <w:color w:val="808080"/>
        <w:sz w:val="18"/>
        <w:szCs w:val="18"/>
      </w:rPr>
      <w:t xml:space="preserve">Relatório SCNT — IBGE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line="312"/>
      <w:outlineLvl w:val="0"/>
    </w:pPr>
    <w:rPr>
      <w:rFonts w:ascii="Calibri" w:eastAsia="SimHei"/>
      <w:b/>
      <w:bCs/>
      <w:color w:val="0B1C2C"/>
      <w:sz w:val="32"/>
      <w:szCs w:val="32"/>
    </w:rPr>
  </w:style>
  <w:style w:type="paragraph" w:styleId="Heading2">
    <w:name w:val="Heading 2"/>
    <w:basedOn w:val="Normal"/>
    <w:next w:val="Normal"/>
    <w:qFormat/>
    <w:pPr>
      <w:spacing w:after="180" w:before="360" w:line="312"/>
      <w:outlineLvl w:val="1"/>
    </w:pPr>
    <w:rPr>
      <w:rFonts w:ascii="Calibri" w:eastAsia="SimHei"/>
      <w:b/>
      <w:bCs/>
      <w:color w:val="0B1C2C"/>
      <w:sz w:val="28"/>
      <w:szCs w:val="28"/>
    </w:rPr>
  </w:style>
  <w:style w:type="paragraph" w:styleId="Heading3">
    <w:name w:val="Heading 3"/>
    <w:basedOn w:val="Normal"/>
    <w:next w:val="Normal"/>
    <w:qFormat/>
    <w:pPr>
      <w:spacing w:after="120" w:before="240" w:line="312"/>
      <w:outlineLvl w:val="2"/>
    </w:pPr>
    <w:rPr>
      <w:rFonts w:ascii="Calibri" w:eastAsia="SimHei"/>
      <w:b/>
      <w:bCs/>
      <w:color w:val="0B1C2C"/>
      <w:sz w:val="26"/>
      <w:szCs w:val="26"/>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2026-06-11T21:47:59.440Z</dcterms:created>
  <dcterms:modified xsi:type="dcterms:W3CDTF">2026-06-11T21:47:59.440Z</dcterms:modified>
</cp:coreProperties>
</file>

<file path=docProps/custom.xml><?xml version="1.0" encoding="utf-8"?>
<Properties xmlns="http://schemas.openxmlformats.org/officeDocument/2006/custom-properties" xmlns:vt="http://schemas.openxmlformats.org/officeDocument/2006/docPropsVTypes"/>
</file>