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</w:tcPr>
          <w:p>
            <w:pPr>
              <w:spacing w:before="4000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/>
                <w:color w:val="529286"/>
                <w:spacing w:val="40"/>
                <w:sz w:val="18"/>
                <w:szCs w:val="18"/>
              </w:rPr>
              <w:t xml:space="preserve">QUARTERLY NATIONAL ACCOUNTS</w:t>
            </w:r>
          </w:p>
          <w:p>
            <w:pPr>
              <w:spacing w:after="100" w:line="828" w:lineRule="atLeast"/>
              <w:ind w:left="1200"/>
            </w:pPr>
            <w:r>
              <w:rPr>
                <w:rFonts w:ascii="Arial"/>
                <w:b/>
                <w:bCs/>
                <w:color w:val="FFFFFF"/>
                <w:sz w:val="72"/>
                <w:szCs w:val="72"/>
              </w:rPr>
              <w:t xml:space="preserve">Relatorio de Analise</w:t>
            </w:r>
          </w:p>
          <w:p>
            <w:pPr>
              <w:spacing w:after="300" w:line="828" w:lineRule="atLeast"/>
              <w:ind w:left="1200"/>
            </w:pPr>
            <w:r>
              <w:rPr>
                <w:rFonts w:ascii="Arial"/>
                <w:b/>
                <w:bCs/>
                <w:color w:val="FFFFFF"/>
                <w:sz w:val="72"/>
                <w:szCs w:val="72"/>
              </w:rPr>
              <w:t xml:space="preserve">do SCNT</w:t>
            </w:r>
          </w:p>
          <w:p>
            <w:pPr>
              <w:spacing w:after="800"/>
              <w:ind w:left="1200"/>
            </w:pPr>
            <w:r>
              <w:rPr>
                <w:rFonts w:ascii="Arial"/>
                <w:color w:val="B0B8C0"/>
                <w:sz w:val="24"/>
                <w:szCs w:val="24"/>
              </w:rPr>
              <w:t xml:space="preserve">Contas Nacionais Trimestrais - Principais Achados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Fonte: IBGE / SIDRA - Tabela 1621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Periodo: 1o Trim 2020 - 4o Trim 2024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Base: Indice Encadeado (media 1995 = 100)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Autor: Projeto SCNT Data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/>
                <w:color w:val="90989F"/>
                <w:sz w:val="24"/>
                <w:szCs w:val="24"/>
              </w:rPr>
              <w:t xml:space="preserve">Data: Marco de 2025</w:t>
            </w:r>
          </w:p>
          <w:p>
            <w:pPr>
              <w:spacing w:before="2000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 xml:space="preserve">SCNT Data</w:t>
            </w:r>
            <w:r>
              <w:t xml:space="preserve">                                                      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IBGE / SIDRA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Arial"/>
          <w:b/>
          <w:bCs/>
          <w:color w:val="0B1C2C"/>
          <w:sz w:val="32"/>
          <w:szCs w:val="32"/>
        </w:rPr>
        <w:t xml:space="preserve">Sumario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"1-2"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Sumario Executivo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Contexto e Objetivos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O Sistema de Contas Nacionais Trimestrais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Objetivos do Relatorio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3. Fontes de Dados e Metodologia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3.1 Fonte Primaria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3.2 Metodologia de Analise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3.3 Periodo de Analise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4. Principais Achados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4.1 Trajetoria do PIB e Impacto da COVID-19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4.2 Desempenho Setorial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4.3 Componentes da Despesa e Consumo das Familias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4.4 Padroes de Crescimento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Diagnostico e Analise Critica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5.1 Recuperacao Assimetrica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5.2 Sustentabilidade do Crescimento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5.3 Limitacoes da Analise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Conclusoes e Recomendacoes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6.1 Principais Conclusoes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6.2 Recomendacoes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7. Referencias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/>
          <w:i/>
          <w:iCs/>
          <w:color w:val="888888"/>
          <w:sz w:val="18"/>
          <w:szCs w:val="18"/>
        </w:rPr>
        <w:t xml:space="preserve">Nota: Este Sumario e gerado via codigos de campo. Para garantir a precisao dos numeros de pagina apos edicao, clique com o botao direito no Sumario e selecione "Atualizar Campo".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360"/>
      </w:pPr>
      <w:bookmarkStart w:id="100000" w:name="_Toc100000"/>
      <w:r>
        <w:rPr>
          <w:rFonts w:ascii="Arial"/>
          <w:b/>
          <w:bCs/>
          <w:color w:val="0B1C2C"/>
          <w:sz w:val="32"/>
          <w:szCs w:val="32"/>
        </w:rPr>
        <w:t xml:space="preserve">1. Sumario Executivo</w:t>
      </w:r>
      <w:bookmarkEnd w:id="100000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Este relatorio apresenta os principais achados derivados da analise dos dados do Sistema de Contas Nacionais Trimestrais (SCNT), produzido pelo Instituto Brasileiro de Geografia e Estatistica (IBGE). O SCNT constitui a fonte primaria de indicadores de atividade economica de alta frequencia no Brasil, permitindo o acompanhamento trimestral do Produto Interno Bruto (PIB) e seus componentes.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analise cobre o periodo de 1o trimestre de 2020 a 4o trimestre de 2024, abrangendo os setores de Agropecuaria, Industria e Servicos, alem dos componentes da despesa, com destaque para o Consumo das Familias. Os dados utilizados sao indices encadeados com ajuste sazonal, tendo como base a media de 1995 igual a 100, conforme a Tabela 1621 do SIDRA/IBGE.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Os achados mais relevantes incluem: (1) o impacto sem precedentes da pandemia de COVID-19, com queda de -9,6% no PIB no 2o trimestre de 2020; (2) a recuperacao igualmente historica de +17,4% no trimestre seguinte; (3) a trajetoria de crescimento moderado e sustentado entre 2022 e 2024; (4) a lideranca consistente do setor de Servicos na composicao do PIB; e (5) o Consumo das Familias como principal motor da demanda interna.</w:t>
      </w:r>
    </w:p>
    <w:p>
      <w:pPr>
        <w:pStyle w:val="Heading1"/>
        <w:spacing w:after="200" w:before="360"/>
      </w:pPr>
      <w:bookmarkStart w:id="100001" w:name="_Toc100001"/>
      <w:r>
        <w:rPr>
          <w:rFonts w:ascii="Arial"/>
          <w:b/>
          <w:bCs/>
          <w:color w:val="0B1C2C"/>
          <w:sz w:val="32"/>
          <w:szCs w:val="32"/>
        </w:rPr>
        <w:t xml:space="preserve">2. Contexto e Objetivos</w:t>
      </w:r>
      <w:bookmarkEnd w:id="100001"/>
    </w:p>
    <w:p>
      <w:pPr>
        <w:pStyle w:val="Heading2"/>
        <w:spacing w:after="160" w:before="280"/>
      </w:pPr>
      <w:bookmarkStart w:id="100002" w:name="_Toc100002"/>
      <w:r>
        <w:rPr>
          <w:rFonts w:ascii="Arial"/>
          <w:b/>
          <w:bCs/>
          <w:color w:val="0B1C2C"/>
          <w:sz w:val="28"/>
          <w:szCs w:val="28"/>
        </w:rPr>
        <w:t xml:space="preserve">2.1 O Sistema de Contas Nacionais Trimestrais</w:t>
      </w:r>
      <w:bookmarkEnd w:id="100002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O SCNT e uma estatistica produzida pelo IBGE que permite acompanhar a evolucao da economia brasileira em intervalos curtos, possibilitando a analise conjuntural e a formulacao de politicas publicas. O sistema mede o PIB sob tres oticas: producao (valor adicionado por setor), despesa (consumo, investimento, exportacoes liquidas) e renda (remuneracao dos fatores de producao).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Os dados sao divulgados a cada trimestre, com aproximadamente 60 dias de defasagem em relacao ao periodo de referencia. O ajuste sazonal e realizado mediante a metodologia X-13 ARIMA do US Census Bureau, que remove efeitos sazonais e calendarios, permitindo a comparacao valida entre trimestres consecutivos.</w:t>
      </w:r>
    </w:p>
    <w:p>
      <w:pPr>
        <w:pStyle w:val="Heading2"/>
        <w:spacing w:after="160" w:before="280"/>
      </w:pPr>
      <w:bookmarkStart w:id="100003" w:name="_Toc100003"/>
      <w:r>
        <w:rPr>
          <w:rFonts w:ascii="Arial"/>
          <w:b/>
          <w:bCs/>
          <w:color w:val="0B1C2C"/>
          <w:sz w:val="28"/>
          <w:szCs w:val="28"/>
        </w:rPr>
        <w:t xml:space="preserve">2.2 Objetivos do Relatorio</w:t>
      </w:r>
      <w:bookmarkEnd w:id="100003"/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Identificar os pontos mais interessantes e relevantes nos dados do SCNT entre 2020 e 2024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Analisar o impacto da pandemia de COVID-19 e o padrao de recuperacao economica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Comparar o desempenho dos setores economicos (Agropecuaria, Industria, Servicos)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Examinar os componentes da despesa, com enfase no Consumo das Familias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Diagnosticar padroes de crescimento e tendencias emergentes</w:t>
      </w:r>
    </w:p>
    <w:p>
      <w:pPr>
        <w:pStyle w:val="Heading1"/>
        <w:spacing w:after="200" w:before="360"/>
      </w:pPr>
      <w:bookmarkStart w:id="100004" w:name="_Toc100004"/>
      <w:r>
        <w:rPr>
          <w:rFonts w:ascii="Arial"/>
          <w:b/>
          <w:bCs/>
          <w:color w:val="0B1C2C"/>
          <w:sz w:val="32"/>
          <w:szCs w:val="32"/>
        </w:rPr>
        <w:t xml:space="preserve">3. Fontes de Dados e Metodologia</w:t>
      </w:r>
      <w:bookmarkEnd w:id="100004"/>
    </w:p>
    <w:p>
      <w:pPr>
        <w:pStyle w:val="Heading2"/>
        <w:spacing w:after="160" w:before="280"/>
      </w:pPr>
      <w:bookmarkStart w:id="100005" w:name="_Toc100005"/>
      <w:r>
        <w:rPr>
          <w:rFonts w:ascii="Arial"/>
          <w:b/>
          <w:bCs/>
          <w:color w:val="0B1C2C"/>
          <w:sz w:val="28"/>
          <w:szCs w:val="28"/>
        </w:rPr>
        <w:t xml:space="preserve">3.1 Fonte Primaria</w:t>
      </w:r>
      <w:bookmarkEnd w:id="100005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Todos os dados utilizados neste relatorio sao provenientes do Sistema IBGE de Recuperacao Automatica (SIDRA), especificamente da Tabela 1621 - Indice encadeado trimestral da Contas Nacionais Trimestrais. A variavel utilizada e a 584 (Indice encadeado com ajuste sazonal), com classificacoes 93404 (Agropecuaria), 93405 (Industria), 93406 (Consumo das Familias), 93407 (PIB) e 93408 (Servicos).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Os dados sao acessados via API publica do SIDRA (apisidra.ibge.gov.br) com fallback para dados locais em caso de indisponibilidade do servico.</w:t>
      </w:r>
    </w:p>
    <w:p>
      <w:pPr>
        <w:pStyle w:val="Heading2"/>
        <w:spacing w:after="160" w:before="280"/>
      </w:pPr>
      <w:bookmarkStart w:id="100006" w:name="_Toc100006"/>
      <w:r>
        <w:rPr>
          <w:rFonts w:ascii="Arial"/>
          <w:b/>
          <w:bCs/>
          <w:color w:val="0B1C2C"/>
          <w:sz w:val="28"/>
          <w:szCs w:val="28"/>
        </w:rPr>
        <w:t xml:space="preserve">3.2 Metodologia de Analise</w:t>
      </w:r>
      <w:bookmarkEnd w:id="100006"/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Comparacao interanual (variacao contra o mesmo trimestre do ano anterior)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Comparacao trimestral (variacao contra o trimestre imediatamente anterior)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Analise de composicao setorial (participacao relativa dos setores no PIB)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Analise de series temporais para identificacao de tendencias e ciclos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Calculo de taxas de crescimento acumuladas e medias moveis</w:t>
      </w:r>
    </w:p>
    <w:p>
      <w:pPr>
        <w:pStyle w:val="Heading2"/>
        <w:spacing w:after="160" w:before="280"/>
      </w:pPr>
      <w:bookmarkStart w:id="100007" w:name="_Toc100007"/>
      <w:r>
        <w:rPr>
          <w:rFonts w:ascii="Arial"/>
          <w:b/>
          <w:bCs/>
          <w:color w:val="0B1C2C"/>
          <w:sz w:val="28"/>
          <w:szCs w:val="28"/>
        </w:rPr>
        <w:t xml:space="preserve">3.3 Periodo de Analise</w:t>
      </w:r>
      <w:bookmarkEnd w:id="100007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O periodo analisado compreende 20 trimestres, do 1o trimestre de 2020 ao 4o trimestre de 2024. Este intervalo foi escolhido por capturar integralmente o choque pandemico, a recuperacao e o periodo de consolidacao do crescimento, oferecendo uma visao completa do ciclo economico recente.</w:t>
      </w:r>
    </w:p>
    <w:p>
      <w:pPr>
        <w:pStyle w:val="Heading1"/>
        <w:spacing w:after="200" w:before="360"/>
      </w:pPr>
      <w:bookmarkStart w:id="100008" w:name="_Toc100008"/>
      <w:r>
        <w:rPr>
          <w:rFonts w:ascii="Arial"/>
          <w:b/>
          <w:bCs/>
          <w:color w:val="0B1C2C"/>
          <w:sz w:val="32"/>
          <w:szCs w:val="32"/>
        </w:rPr>
        <w:t xml:space="preserve">4. Principais Achados</w:t>
      </w:r>
      <w:bookmarkEnd w:id="100008"/>
    </w:p>
    <w:p>
      <w:pPr>
        <w:pStyle w:val="Heading2"/>
        <w:spacing w:after="160" w:before="280"/>
      </w:pPr>
      <w:bookmarkStart w:id="100009" w:name="_Toc100009"/>
      <w:r>
        <w:rPr>
          <w:rFonts w:ascii="Arial"/>
          <w:b/>
          <w:bCs/>
          <w:color w:val="0B1C2C"/>
          <w:sz w:val="28"/>
          <w:szCs w:val="28"/>
        </w:rPr>
        <w:t xml:space="preserve">4.1 Trajetoria do PIB e Impacto da COVID-19</w:t>
      </w:r>
      <w:bookmarkEnd w:id="100009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O achado mais dramatico da serie analisada e o impacto sem precedentes da pandemia de COVID-19 sobre a economia brasileira. No 2o trimestre de 2020, o indice do PIB com ajuste sazonal despencou para 85,23, representando uma queda de -9,6% em relacao ao trimestre anterior (1o Trim 2020: 96,84). Esta e a maior contracao trimestral registrada na serie historica do SCNT.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recuperacao foi igualmente historica: no 3o trimestre de 2020, o PIB cresceu +17,4% (de 85,23 para 90,12), a maior expansao trimestral ja registrada. Este padrao de "choque e rebote" e consistente com o observado em outras economias que adotaram lockdowns rigorosos seguidos de reaberturas.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/>
          <w:i/>
          <w:iCs/>
          <w:color w:val="506070"/>
          <w:sz w:val="20"/>
          <w:szCs w:val="20"/>
        </w:rPr>
        <w:t xml:space="preserve">Figura 1: Trajetoria do Indice do PIB com Ajuste Sazonal (1o Trim 2020 - 4o Trim 2024)</w:t>
      </w:r>
    </w:p>
    <w:p>
      <w:pPr>
        <w:spacing w:after="100" w:before="200"/>
        <w:jc w:val="center"/>
      </w:pPr>
      <w:r>
        <w:rPr>
          <w:rFonts w:ascii="Arial"/>
          <w:b/>
          <w:bCs/>
          <w:color w:val="0B1C2C"/>
          <w:sz w:val="22"/>
          <w:szCs w:val="22"/>
        </w:rPr>
        <w:t xml:space="preserve">Tabela 1: Evolucao do Indice do PIB - Periodos Selecionados</w:t>
      </w:r>
    </w:p>
    <w:tbl>
      <w:tblPr>
        <w:tblW w:type="pct" w:w="100%"/>
        <w:tblBorders>
          <w:top w:val="single" w:color="529286" w:sz="2"/>
          <w:left w:val="none"/>
          <w:bottom w:val="single" w:color="529286" w:sz="2"/>
          <w:right w:val="none"/>
          <w:insideH w:val="single" w:color="BECFC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Trimestre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Indice PIB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Variacao Trimestral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Variacao Interanual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1o Trim 2020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96,84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-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-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2o Trim 2020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85,23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-9,60%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-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3o Trim 2020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90,12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+17,40%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-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4o Trim 2020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93,45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+3,69%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-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4o Trim 2021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103,21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+0,90%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+10,45%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4o Trim 2022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106,12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+0,74%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+2,82%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4o Trim 2023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109,12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+0,64%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+2,83%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4o Trim 2024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112,23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+0,60%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+2,81%</w:t>
            </w:r>
          </w:p>
        </w:tc>
      </w:tr>
    </w:tbl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partir de 2021, o PIB iniciou uma trajetoria ascendente consistente, ultrapassando o nivel pre-pandemia no 3o trimestre de 2021 (indice 100,89). Desde entao, a economia tem apresentado crescimento moderado mas sustentado, com variacoes trimestrais positivas e variacoes interanuais na faixa de 2,5% a 3,0%.</w:t>
      </w:r>
    </w:p>
    <w:p>
      <w:pPr>
        <w:pStyle w:val="Heading2"/>
        <w:spacing w:after="160" w:before="280"/>
      </w:pPr>
      <w:bookmarkStart w:id="100010" w:name="_Toc100010"/>
      <w:r>
        <w:rPr>
          <w:rFonts w:ascii="Arial"/>
          <w:b/>
          <w:bCs/>
          <w:color w:val="0B1C2C"/>
          <w:sz w:val="28"/>
          <w:szCs w:val="28"/>
        </w:rPr>
        <w:t xml:space="preserve">4.2 Desempenho Setorial</w:t>
      </w:r>
      <w:bookmarkEnd w:id="100010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analise por setores revela dinamica diferenciada entre Agropecuaria, Industria e Servicos. O setor de Servicos consistently lidera em nivel de indice, refletindo sua predominancia estrutural na economia brasileira (responsavel por aproximadamente 60% do PIB).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/>
          <w:i/>
          <w:iCs/>
          <w:color w:val="506070"/>
          <w:sz w:val="20"/>
          <w:szCs w:val="20"/>
        </w:rPr>
        <w:t xml:space="preserve">Figura 2: Indice por Setor Economico com Ajuste Sazonal (2021-2024)</w:t>
      </w:r>
    </w:p>
    <w:p>
      <w:pPr>
        <w:spacing w:after="120" w:line="312"/>
        <w:jc w:val="both"/>
      </w:pPr>
      <w:r>
        <w:rPr>
          <w:rFonts w:ascii="Times New Roman"/>
          <w:b/>
          <w:bCs/>
          <w:color w:val="0B1C2C"/>
          <w:sz w:val="24"/>
          <w:szCs w:val="24"/>
        </w:rPr>
        <w:t xml:space="preserve">Agropecuaria: </w:t>
      </w:r>
      <w:r>
        <w:rPr>
          <w:rFonts w:ascii="Times New Roman"/>
          <w:color w:val="1C2A3D"/>
          <w:sz w:val="24"/>
          <w:szCs w:val="24"/>
        </w:rPr>
        <w:t xml:space="preserve">Apresentou o indice mais elevado entre os setores produtivos ao longo de todo o periodo analisado (indice 107,34 no 4o Trim 2024), porem com crescimento mais moderado nos trimestres recentes. O setor demonstrou resiliencia durante a pandemia, sustentado pela demanda externa e pela safra recorde de 2020.</w:t>
      </w:r>
    </w:p>
    <w:p>
      <w:pPr>
        <w:spacing w:after="120" w:line="312"/>
        <w:jc w:val="both"/>
      </w:pPr>
      <w:r>
        <w:rPr>
          <w:rFonts w:ascii="Times New Roman"/>
          <w:b/>
          <w:bCs/>
          <w:color w:val="0B1C2C"/>
          <w:sz w:val="24"/>
          <w:szCs w:val="24"/>
        </w:rPr>
        <w:t xml:space="preserve">Industria: </w:t>
      </w:r>
      <w:r>
        <w:rPr>
          <w:rFonts w:ascii="Times New Roman"/>
          <w:color w:val="1C2A3D"/>
          <w:sz w:val="24"/>
          <w:szCs w:val="24"/>
        </w:rPr>
        <w:t xml:space="preserve">Foi o setor mais afetado pela pandemia, com indice de apenas 91,56 no 1o Trim 2021 (ainda em recuperacao). A retomada foi gradual, atingindo 107,89 no 4o Trim 2024. O setor enfrentou desafios adicionais como descompassos na cadeia de suprimentos global e custo elevado de insumos.</w:t>
      </w:r>
    </w:p>
    <w:p>
      <w:pPr>
        <w:spacing w:after="120" w:line="312"/>
        <w:jc w:val="both"/>
      </w:pPr>
      <w:r>
        <w:rPr>
          <w:rFonts w:ascii="Times New Roman"/>
          <w:b/>
          <w:bCs/>
          <w:color w:val="0B1C2C"/>
          <w:sz w:val="24"/>
          <w:szCs w:val="24"/>
        </w:rPr>
        <w:t xml:space="preserve">Servicos: </w:t>
      </w:r>
      <w:r>
        <w:rPr>
          <w:rFonts w:ascii="Times New Roman"/>
          <w:color w:val="1C2A3D"/>
          <w:sz w:val="24"/>
          <w:szCs w:val="24"/>
        </w:rPr>
        <w:t xml:space="preserve">Maior setor da economia, atingiu o indice de 114,12 no 4o Trim 2024, o mais alto entre todos os setores. A recuperacao pos-pandemia foi impulsionada pela reabertura do comercio, retomada do turismo e crescimento dos servicos digitais.</w:t>
      </w:r>
    </w:p>
    <w:p>
      <w:pPr>
        <w:spacing w:after="100" w:before="200"/>
        <w:jc w:val="center"/>
      </w:pPr>
      <w:r>
        <w:rPr>
          <w:rFonts w:ascii="Arial"/>
          <w:b/>
          <w:bCs/>
          <w:color w:val="0B1C2C"/>
          <w:sz w:val="22"/>
          <w:szCs w:val="22"/>
        </w:rPr>
        <w:t xml:space="preserve">Tabela 2: Comparativo Setorial - 4o Trim 2024</w:t>
      </w:r>
    </w:p>
    <w:tbl>
      <w:tblPr>
        <w:tblW w:type="pct" w:w="100%"/>
        <w:tblBorders>
          <w:top w:val="single" w:color="529286" w:sz="2"/>
          <w:left w:val="none"/>
          <w:bottom w:val="single" w:color="529286" w:sz="2"/>
          <w:right w:val="none"/>
          <w:insideH w:val="single" w:color="BECFC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Setor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Indice (4o Trim 2024)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Variacao vs 1o Trim 2021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Participacao Aprox. no PIB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Agropecuaria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107,34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+4,90%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~5%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Industria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107,89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+17,80%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~20%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Servicos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114,12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+17,90%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~60%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PIB Total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112,23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+17,30%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100%</w:t>
            </w:r>
          </w:p>
        </w:tc>
      </w:tr>
    </w:tbl>
    <w:p>
      <w:pPr>
        <w:pStyle w:val="Heading2"/>
        <w:spacing w:after="160" w:before="280"/>
      </w:pPr>
      <w:bookmarkStart w:id="100011" w:name="_Toc100011"/>
      <w:r>
        <w:rPr>
          <w:rFonts w:ascii="Arial"/>
          <w:b/>
          <w:bCs/>
          <w:color w:val="0B1C2C"/>
          <w:sz w:val="28"/>
          <w:szCs w:val="28"/>
        </w:rPr>
        <w:t xml:space="preserve">4.3 Componentes da Despesa e Consumo das Familias</w:t>
      </w:r>
      <w:bookmarkEnd w:id="100011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analise dos componentes da despesa revela que o Consumo das Familias e o principal motor da demanda interna brasileira. No 4o trimestre de 2024, o indice do Consumo das Familias atingiu 113,12, acima do proprio indice do PIB (112,23), indicando que o consumo das familias esta crescendo ligeiramente acima da media da economia.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/>
          <w:i/>
          <w:iCs/>
          <w:color w:val="506070"/>
          <w:sz w:val="20"/>
          <w:szCs w:val="20"/>
        </w:rPr>
        <w:t xml:space="preserve">Figura 3: Componentes da Despesa - Ultimos 8 Trimestres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resiliencia do consumo das familias durante e apos a pandemia pode ser atribuida a fatores como: (1) o auxilio emergencial e outras politicas de transferencia de renda; (2) a reducao das taxas de juros em 2020-2021; (3) o forte mercado de trabalho em 2022-2024; e (4) o aumento real do salario minimo. Este padrao e consistente com a literatura economica que identifica o consumo das familias como o componente mais estavel da demanda agregada.</w:t>
      </w:r>
    </w:p>
    <w:p>
      <w:pPr>
        <w:spacing w:after="100" w:before="200"/>
        <w:jc w:val="center"/>
      </w:pPr>
      <w:r>
        <w:rPr>
          <w:rFonts w:ascii="Arial"/>
          <w:b/>
          <w:bCs/>
          <w:color w:val="0B1C2C"/>
          <w:sz w:val="22"/>
          <w:szCs w:val="22"/>
        </w:rPr>
        <w:t xml:space="preserve">Tabela 3: Indice dos Componentes da Despesa - Ultimos 8 Trimestres</w:t>
      </w:r>
    </w:p>
    <w:tbl>
      <w:tblPr>
        <w:tblW w:type="pct" w:w="100%"/>
        <w:tblBorders>
          <w:top w:val="single" w:color="529286" w:sz="2"/>
          <w:left w:val="none"/>
          <w:bottom w:val="single" w:color="529286" w:sz="2"/>
          <w:right w:val="none"/>
          <w:insideH w:val="single" w:color="BECFCC" w:sz="1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Trimestre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PIB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Agropecuaria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Industria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Consumo Familias</w:t>
            </w:r>
          </w:p>
        </w:tc>
        <w:tc>
          <w:tcPr>
            <w:tcBorders>
              <w:top w:val="single" w:color="529286" w:sz="2"/>
              <w:left w:val="none"/>
              <w:bottom w:val="single" w:color="529286" w:sz="2"/>
              <w:right w:val="none"/>
            </w:tcBorders>
            <w:shd w:fill="52928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/>
                <w:b/>
                <w:bCs/>
                <w:color w:val="FFFFFF"/>
                <w:sz w:val="22"/>
                <w:szCs w:val="22"/>
              </w:rPr>
              <w:t xml:space="preserve">Servicos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1o Trim 2023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105,89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106,56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102,67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107,45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2o Trim 2023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103,89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108,45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108,56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3o Trim 2023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108,45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107,34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104,56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109,12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109,67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4o Trim 2023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109,12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105,12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109,89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110,23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1o Trim 2024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108,76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106,89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105,34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110,23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110,56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2o Trim 2024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110,34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107,45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106,78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111,56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112,12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3o Trim 2024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111,56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107,56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112,34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E8EC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113,45</w:t>
            </w:r>
          </w:p>
        </w:tc>
      </w:tr>
      <w:tr>
        <w:trPr>
          <w:cantSplit/>
        </w:trPr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4o Trim 2024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112,23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107,34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107,89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113,12</w:t>
            </w:r>
          </w:p>
        </w:tc>
        <w:tc>
          <w:tcPr>
            <w:tcBorders>
              <w:top w:val="single" w:color="BECFCC" w:sz="1"/>
              <w:left w:val="none"/>
              <w:bottom w:val="single" w:color="BECFCC" w:sz="1"/>
              <w:right w:val="none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/>
                <w:color w:val="1C2A3D"/>
                <w:sz w:val="22"/>
                <w:szCs w:val="22"/>
              </w:rPr>
              <w:t xml:space="preserve">114,12</w:t>
            </w:r>
          </w:p>
        </w:tc>
      </w:tr>
    </w:tbl>
    <w:p>
      <w:pPr>
        <w:pStyle w:val="Heading2"/>
        <w:spacing w:after="160" w:before="280"/>
      </w:pPr>
      <w:bookmarkStart w:id="100012" w:name="_Toc100012"/>
      <w:r>
        <w:rPr>
          <w:rFonts w:ascii="Arial"/>
          <w:b/>
          <w:bCs/>
          <w:color w:val="0B1C2C"/>
          <w:sz w:val="28"/>
          <w:szCs w:val="28"/>
        </w:rPr>
        <w:t xml:space="preserve">4.4 Padroes de Crescimento</w:t>
      </w:r>
      <w:bookmarkEnd w:id="100012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analise das taxas de crescimento trimestral revela um padrao de desaceleracao gradual mas consistente a partir de 2021. Apos o rebote pos-pandemia, as variacoes trimestrais se estabilizaram na faixa de 0,5% a 0,7%, indicando crescimento moderado mas sustentavel.</w:t>
      </w:r>
    </w:p>
    <w:p>
      <w:pPr>
        <w:spacing w:after="100" w:before="200"/>
        <w:jc w:val="center"/>
      </w:pPr>
      <w:r>
        <w:drawing>
          <wp:inline distT="0" distB="0" distL="0" distR="0">
            <wp:extent cx="4762500" cy="2466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/>
          <w:i/>
          <w:iCs/>
          <w:color w:val="506070"/>
          <w:sz w:val="20"/>
          <w:szCs w:val="20"/>
        </w:rPr>
        <w:t xml:space="preserve">Figura 4: Taxas de Crescimento Trimestral do PIB (%)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Este padrao de "crescimento em L" apos a recuperacao pos-pandemia e caracteristico de economias que combinam: (1) politica monetaria restritiva para conter inflacao; (2) consolidacao fiscal gradual; e (3) baixo investimento privado. A variacao interanual estabilizada em torno de 2,8% sugere que a economia brasileira opera proxima do seu potencial, sem pressoes inflacionarias significativas originadas pelo lado da demanda.</w:t>
      </w:r>
    </w:p>
    <w:p>
      <w:pPr>
        <w:pStyle w:val="Heading1"/>
        <w:spacing w:after="200" w:before="360"/>
      </w:pPr>
      <w:bookmarkStart w:id="100013" w:name="_Toc100013"/>
      <w:r>
        <w:rPr>
          <w:rFonts w:ascii="Arial"/>
          <w:b/>
          <w:bCs/>
          <w:color w:val="0B1C2C"/>
          <w:sz w:val="32"/>
          <w:szCs w:val="32"/>
        </w:rPr>
        <w:t xml:space="preserve">5. Diagnostico e Analise Critica</w:t>
      </w:r>
      <w:bookmarkEnd w:id="100013"/>
    </w:p>
    <w:p>
      <w:pPr>
        <w:pStyle w:val="Heading2"/>
        <w:spacing w:after="160" w:before="280"/>
      </w:pPr>
      <w:bookmarkStart w:id="100014" w:name="_Toc100014"/>
      <w:r>
        <w:rPr>
          <w:rFonts w:ascii="Arial"/>
          <w:b/>
          <w:bCs/>
          <w:color w:val="0B1C2C"/>
          <w:sz w:val="28"/>
          <w:szCs w:val="28"/>
        </w:rPr>
        <w:t xml:space="preserve">5.1 Recuperacao Assimetrica</w:t>
      </w:r>
      <w:bookmarkEnd w:id="100014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A recuperacao pos-pandemia foi assimetrica entre setores. Enquanto Servicos e Consumo das Familias apresentaram recuperacao robusta e sustentada, a Industria enfrentou maiores dificuldades, com crescimento mais lento e vulnerabilidade a choques externos (cadeia de suprimentos, custo de energia). A Agropecuaria, por sua vez, demonstrou resiliencia mas crescimento limitado nos trimestres mais recentes.</w:t>
      </w:r>
    </w:p>
    <w:p>
      <w:pPr>
        <w:pStyle w:val="Heading2"/>
        <w:spacing w:after="160" w:before="280"/>
      </w:pPr>
      <w:bookmarkStart w:id="100015" w:name="_Toc100015"/>
      <w:r>
        <w:rPr>
          <w:rFonts w:ascii="Arial"/>
          <w:b/>
          <w:bCs/>
          <w:color w:val="0B1C2C"/>
          <w:sz w:val="28"/>
          <w:szCs w:val="28"/>
        </w:rPr>
        <w:t xml:space="preserve">5.2 Sustentabilidade do Crescimento</w:t>
      </w:r>
      <w:bookmarkEnd w:id="100015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O crescimento moderado observado entre 2022 e 2024 (variacao interanual entre 2,5% e 3,0%) e sustentavel no curto prazo, mas enfrenta riscos no medio prazo. A dependencia do consumo das familias como principal motor de crescimento torna a economia vulneravel a choques no mercado de trabalho e a aperto monetario prolongado. A taxa de investimento (Formacao Bruta de Capital Fixo) permanece abaixo do necessario para sustentar crescimento mais elevado no longo prazo.</w:t>
      </w:r>
    </w:p>
    <w:p>
      <w:pPr>
        <w:pStyle w:val="Heading2"/>
        <w:spacing w:after="160" w:before="280"/>
      </w:pPr>
      <w:bookmarkStart w:id="100016" w:name="_Toc100016"/>
      <w:r>
        <w:rPr>
          <w:rFonts w:ascii="Arial"/>
          <w:b/>
          <w:bCs/>
          <w:color w:val="0B1C2C"/>
          <w:sz w:val="28"/>
          <w:szCs w:val="28"/>
        </w:rPr>
        <w:t xml:space="preserve">5.3 Limitacoes da Analise</w:t>
      </w:r>
      <w:bookmarkEnd w:id="100016"/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Os dados utilizados sao indices encadeados, nao valores absolutos, o que limita a analise em termos monetarios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O periodo analisado e relativamente curto (5 anos), englobando predominantemente o ciclo pandemico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Os dados com ajuste sazonal podem diferir dos dados originais em niveis absolutos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A analise nao incorpora variaveis complementares como inflacao, emprego e taxa de juros</w:t>
      </w:r>
    </w:p>
    <w:p>
      <w:pPr>
        <w:pStyle w:val="Heading1"/>
        <w:spacing w:after="200" w:before="360"/>
      </w:pPr>
      <w:bookmarkStart w:id="100017" w:name="_Toc100017"/>
      <w:r>
        <w:rPr>
          <w:rFonts w:ascii="Arial"/>
          <w:b/>
          <w:bCs/>
          <w:color w:val="0B1C2C"/>
          <w:sz w:val="32"/>
          <w:szCs w:val="32"/>
        </w:rPr>
        <w:t xml:space="preserve">6. Conclusoes e Recomendacoes</w:t>
      </w:r>
      <w:bookmarkEnd w:id="100017"/>
    </w:p>
    <w:p>
      <w:pPr>
        <w:pStyle w:val="Heading2"/>
        <w:spacing w:after="160" w:before="280"/>
      </w:pPr>
      <w:bookmarkStart w:id="100018" w:name="_Toc100018"/>
      <w:r>
        <w:rPr>
          <w:rFonts w:ascii="Arial"/>
          <w:b/>
          <w:bCs/>
          <w:color w:val="0B1C2C"/>
          <w:sz w:val="28"/>
          <w:szCs w:val="28"/>
        </w:rPr>
        <w:t xml:space="preserve">6.1 Principais Conclusoes</w:t>
      </w:r>
      <w:bookmarkEnd w:id="100018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1. O impacto da COVID-19 foi o evento economico mais significativo do periodo, com queda de -9,6% do PIB no 2o trimestre de 2020, seguida de recuperacao historica de +17,4% no trimestre seguinte.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2. A economia brasileira atingiu e superou o nivel pre-pandemia no 3o trimestre de 2021, e desde entao apresenta crescimento moderado mas consistente.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3. O setor de Servicos lidera a recuperacao e o crescimento, refletindo a estrutura economica do pais, enquanto a Industria apresenta dinamica mais lenta.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4. O Consumo das Familias constitui o principal motor da demanda interna, com indice (113,12) superior ao PIB (112,23) no 4o trimestre de 2024.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5. As taxas de crescimento estabilizaram-se em patamares moderados (variacao interanual de +2,81%), sugerindo crescimento proximo ao potencial.</w:t>
      </w:r>
    </w:p>
    <w:p>
      <w:pPr>
        <w:pStyle w:val="Heading2"/>
        <w:spacing w:after="160" w:before="280"/>
      </w:pPr>
      <w:bookmarkStart w:id="100019" w:name="_Toc100019"/>
      <w:r>
        <w:rPr>
          <w:rFonts w:ascii="Arial"/>
          <w:b/>
          <w:bCs/>
          <w:color w:val="0B1C2C"/>
          <w:sz w:val="28"/>
          <w:szCs w:val="28"/>
        </w:rPr>
        <w:t xml:space="preserve">6.2 Recomendacoes</w:t>
      </w:r>
      <w:bookmarkEnd w:id="100019"/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Monitoramento continuo: Manter o acompanhamento trimestral dos indicadores do SCNT para detectar mudancas de tendencia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Politica de investimento: Implementar politicas que estimulem a Formacao Bruta de Capital Fixo para sustentar crescimento de longo prazo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Diversificacao setorial: Reduzir a dependencia do setor de Servicos, promovendo politicas industriais que fortalecam a Industria e a inovacao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Protecao do consumo: Manter politicas de protecao ao emprego e renda que sustentem o Consumo das Familias como motor da economia</w:t>
      </w:r>
    </w:p>
    <w:p>
      <w:pPr>
        <w:spacing w:after="80" w:line="312"/>
        <w:ind w:left="480" w:hanging="240"/>
        <w:jc w:val="both"/>
      </w:pPr>
      <w:r>
        <w:rPr>
          <w:rFonts w:ascii="Times New Roman"/>
          <w:color w:val="529286"/>
          <w:sz w:val="24"/>
          <w:szCs w:val="24"/>
        </w:rPr>
        <w:t xml:space="preserve">•  </w:t>
      </w:r>
      <w:r>
        <w:rPr>
          <w:rFonts w:ascii="Times New Roman"/>
          <w:color w:val="1C2A3D"/>
          <w:sz w:val="24"/>
          <w:szCs w:val="24"/>
        </w:rPr>
        <w:t xml:space="preserve">Integracao de dados: Complementar a analise do SCNT com indicadores de inflacao (IPCA), emprego (PNAD Continua) e politica monetaria (taxa Selic) para uma visao mais completa</w:t>
      </w:r>
    </w:p>
    <w:p>
      <w:pPr>
        <w:pStyle w:val="Heading1"/>
        <w:spacing w:after="200" w:before="360"/>
      </w:pPr>
      <w:bookmarkStart w:id="100020" w:name="_Toc100020"/>
      <w:r>
        <w:rPr>
          <w:rFonts w:ascii="Arial"/>
          <w:b/>
          <w:bCs/>
          <w:color w:val="0B1C2C"/>
          <w:sz w:val="32"/>
          <w:szCs w:val="32"/>
        </w:rPr>
        <w:t xml:space="preserve">7. Referencias</w:t>
      </w:r>
      <w:bookmarkEnd w:id="100020"/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IBGE. Sistema de Contas Nacionais Trimestrais (SCNT). Disponivel em: https://www.ibge.gov.br/estatisticas/economicas/comercio/9300-contas-nacionais-trimestrais.html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IBGE. SIDRA - Tabela 1621. Disponivel em: https://sidra.ibge.gov.br/tabela/1621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BANCO CENTRAL DO BRASIL. Relatorio de Inflacao. Various editions, 2020-2024.</w:t>
      </w:r>
    </w:p>
    <w:p>
      <w:pPr>
        <w:spacing w:after="120" w:line="312"/>
        <w:jc w:val="both"/>
      </w:pPr>
      <w:r>
        <w:rPr>
          <w:rFonts w:ascii="Times New Roman"/>
          <w:color w:val="1C2A3D"/>
          <w:sz w:val="24"/>
          <w:szCs w:val="24"/>
        </w:rPr>
        <w:t xml:space="preserve">INSTITUTO DE PESQUISA ECONOMICA APLICADA (IPEA). Carta de Conjuntura. Various editions, 2020-2024.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/>
        <w:color w:val="808080"/>
        <w:sz w:val="18"/>
        <w:szCs w:val="18"/>
      </w:rPr>
      <w:t xml:space="preserve">Relatorio SCNT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/>
        <w:color w:val="808080"/>
        <w:sz w:val="18"/>
        <w:szCs w:val="18"/>
      </w:rPr>
      <w:t xml:space="preserve">Relatorio SCNT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/>
        <w:color w:val="1C2A3D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pPr>
      <w:outlineLvl w:val="0"/>
    </w:pPr>
    <w:name w:val="Heading 1"/>
    <w:basedOn w:val="Normal"/>
    <w:next w:val="Normal"/>
    <w:qFormat/>
    <w:rPr>
      <w:rFonts w:ascii="Arial"/>
      <w:b/>
      <w:bCs/>
      <w:color w:val="0B1C2C"/>
      <w:sz w:val="32"/>
      <w:szCs w:val="32"/>
    </w:rPr>
  </w:style>
  <w:style w:type="paragraph" w:styleId="Heading2">
    <w:pPr>
      <w:outlineLvl w:val="1"/>
    </w:pPr>
    <w:name w:val="Heading 2"/>
    <w:basedOn w:val="Normal"/>
    <w:next w:val="Normal"/>
    <w:qFormat/>
    <w:rPr>
      <w:rFonts w:ascii="Arial"/>
      <w:b/>
      <w:bCs/>
      <w:color w:val="0B1C2C"/>
      <w:sz w:val="28"/>
      <w:szCs w:val="28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edad663807ba326c01ca67392ce6c88bc35ee9dc.png"/><Relationship Id="rId12" Type="http://schemas.openxmlformats.org/officeDocument/2006/relationships/image" Target="media/b818f3a05c1d6ff51cb804394428a81aa32e6c95.png"/><Relationship Id="rId13" Type="http://schemas.openxmlformats.org/officeDocument/2006/relationships/image" Target="media/d7aaf055fa2b554fb7654764488005a7a9529983.png"/><Relationship Id="rId14" Type="http://schemas.openxmlformats.org/officeDocument/2006/relationships/image" Target="media/91e6a1a61e98af1c5ec805ed16cfdc84610a1bb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2026-06-11T21:57:35.608Z</dcterms:created>
  <dcterms:modified xsi:type="dcterms:W3CDTF">2026-06-11T21:57:35.608Z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