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8689" w14:textId="5DF609F4" w:rsidR="008B66DC" w:rsidRPr="008B66DC" w:rsidRDefault="00D41E49" w:rsidP="008724AA">
      <w:pPr>
        <w:spacing w:line="360" w:lineRule="auto"/>
        <w:ind w:firstLine="0"/>
        <w:jc w:val="center"/>
        <w:rPr>
          <w:b/>
          <w:lang w:val="en-US"/>
        </w:rPr>
      </w:pPr>
      <w:r>
        <w:rPr>
          <w:b/>
          <w:lang w:val="en-US"/>
        </w:rPr>
        <w:t>Contextual</w:t>
      </w:r>
      <w:r w:rsidR="00416CEA">
        <w:rPr>
          <w:b/>
          <w:lang w:val="en-US"/>
        </w:rPr>
        <w:t>ized</w:t>
      </w:r>
      <w:r w:rsidR="00520129">
        <w:rPr>
          <w:b/>
          <w:lang w:val="en-US"/>
        </w:rPr>
        <w:t xml:space="preserve"> </w:t>
      </w:r>
      <w:r w:rsidR="008B66DC" w:rsidRPr="008B66DC">
        <w:rPr>
          <w:b/>
          <w:lang w:val="en-US"/>
        </w:rPr>
        <w:t xml:space="preserve">Guideline for Strengthening Implementation of Corporate Governance Framework in Zimbabwe State-Owned Enterprises: A </w:t>
      </w:r>
      <w:r>
        <w:rPr>
          <w:b/>
          <w:lang w:val="en-US"/>
        </w:rPr>
        <w:t xml:space="preserve">Focus on </w:t>
      </w:r>
      <w:r w:rsidR="008B66DC" w:rsidRPr="008B66DC">
        <w:rPr>
          <w:b/>
          <w:lang w:val="en-US"/>
        </w:rPr>
        <w:t>Zimbabwe Electricity Supply Authority</w:t>
      </w:r>
    </w:p>
    <w:p w14:paraId="3FAF1022" w14:textId="359002AC" w:rsidR="008B66DC" w:rsidRDefault="00B05C06" w:rsidP="008724AA">
      <w:pPr>
        <w:pBdr>
          <w:bottom w:val="single" w:sz="4" w:space="1" w:color="auto"/>
        </w:pBdr>
        <w:spacing w:line="360" w:lineRule="auto"/>
        <w:ind w:firstLine="0"/>
        <w:jc w:val="center"/>
        <w:rPr>
          <w:lang w:val="en-US"/>
        </w:rPr>
      </w:pPr>
      <w:r>
        <w:rPr>
          <w:lang w:val="en-US"/>
        </w:rPr>
        <w:t xml:space="preserve">Nyasha Masango, </w:t>
      </w:r>
      <w:r w:rsidR="007A1B27">
        <w:rPr>
          <w:lang w:val="en-US"/>
        </w:rPr>
        <w:t>Walter Nyamangodo</w:t>
      </w:r>
      <w:r w:rsidR="00505FEB">
        <w:rPr>
          <w:lang w:val="en-US"/>
        </w:rPr>
        <w:t>,</w:t>
      </w:r>
      <w:r w:rsidR="007A1B27">
        <w:rPr>
          <w:lang w:val="en-US"/>
        </w:rPr>
        <w:t xml:space="preserve"> Pindai </w:t>
      </w:r>
      <w:r w:rsidR="00D41E49">
        <w:rPr>
          <w:lang w:val="en-US"/>
        </w:rPr>
        <w:t xml:space="preserve">M. </w:t>
      </w:r>
      <w:r w:rsidR="007A1B27">
        <w:rPr>
          <w:lang w:val="en-US"/>
        </w:rPr>
        <w:t>Sithole</w:t>
      </w:r>
    </w:p>
    <w:p w14:paraId="13EC4774" w14:textId="46D24117" w:rsidR="00E50D15" w:rsidRPr="008724AA" w:rsidRDefault="00E50D15" w:rsidP="008724AA">
      <w:pPr>
        <w:pBdr>
          <w:bottom w:val="single" w:sz="4" w:space="1" w:color="auto"/>
        </w:pBdr>
        <w:spacing w:line="360" w:lineRule="auto"/>
        <w:ind w:firstLine="0"/>
        <w:jc w:val="center"/>
        <w:rPr>
          <w:b/>
          <w:bCs/>
          <w:lang w:val="en-US"/>
        </w:rPr>
      </w:pPr>
      <w:r w:rsidRPr="008724AA">
        <w:rPr>
          <w:b/>
          <w:bCs/>
          <w:lang w:val="en-US"/>
        </w:rPr>
        <w:t>Africa Leadership and Management Academy</w:t>
      </w:r>
    </w:p>
    <w:p w14:paraId="3A0AC470" w14:textId="77777777" w:rsidR="008B66DC" w:rsidRDefault="008B66DC" w:rsidP="008724AA">
      <w:pPr>
        <w:pStyle w:val="Heading1"/>
        <w:spacing w:line="360" w:lineRule="auto"/>
        <w:rPr>
          <w:rStyle w:val="Heading1Char"/>
        </w:rPr>
      </w:pPr>
      <w:r w:rsidRPr="00B05C06">
        <w:rPr>
          <w:rStyle w:val="Heading1Char"/>
          <w:b/>
        </w:rPr>
        <w:t>Abstract</w:t>
      </w:r>
    </w:p>
    <w:p w14:paraId="4A1EDF98" w14:textId="4E7DE947" w:rsidR="008B66DC" w:rsidRPr="008B66DC" w:rsidRDefault="008B66DC" w:rsidP="008724AA">
      <w:pPr>
        <w:spacing w:line="360" w:lineRule="auto"/>
        <w:ind w:firstLine="0"/>
        <w:rPr>
          <w:lang w:val="en-US"/>
        </w:rPr>
      </w:pPr>
      <w:r w:rsidRPr="008B66DC">
        <w:rPr>
          <w:lang w:val="en-US"/>
        </w:rPr>
        <w:t xml:space="preserve">The study aimed to develop a guideline for strengthening the implementation of the corporate governance framework in Zimbabwe State-Owned Enterprises (SOEs), using the Zimbabwe Electricity Supply Authority (ZESA) as a case study. SOEs in Zimbabwe frequently face significant financial and service delivery challenges, which can hinder competitiveness and economic progress, posing fiscal risks for the government. </w:t>
      </w:r>
      <w:r w:rsidR="00FB2774">
        <w:rPr>
          <w:lang w:val="en-US"/>
        </w:rPr>
        <w:t>Enhancing the effectiveness and productivity of SOEs through reinforced corporate governance is crucial to address these issues</w:t>
      </w:r>
      <w:r w:rsidRPr="008B66DC">
        <w:rPr>
          <w:lang w:val="en-US"/>
        </w:rPr>
        <w:t>. The study was grounded in the agency, transaction cost, and stakeholder theories. The objectives were to establish how the corporate governance framework is understood at ZESA, examine institutional governance practices, determine aspects of effective corporate governance, and develop an implementation guideline. A descriptive research design was used, with data collected through a quantitative Likert scale questionnaire and qualitative interviews. Findings indicated that ZESA implements various corporate governance principles, but a comprehensive model encompassing openness, accountability, and ethical decision-making is needed. The study concludes that strengthening corporate governance in ZESA requires a dedicated leadership committed to high ethical standards and governance practices. The developed guideline provides a framework for effectively implementing corporate governance in Zimbabwe's SOEs.</w:t>
      </w:r>
    </w:p>
    <w:p w14:paraId="1D749B12" w14:textId="77777777" w:rsidR="008B66DC" w:rsidRPr="008B66DC" w:rsidRDefault="008B66DC" w:rsidP="008724AA">
      <w:pPr>
        <w:pBdr>
          <w:bottom w:val="single" w:sz="4" w:space="1" w:color="auto"/>
        </w:pBdr>
        <w:spacing w:line="360" w:lineRule="auto"/>
        <w:rPr>
          <w:lang w:val="en-US"/>
        </w:rPr>
      </w:pPr>
      <w:r w:rsidRPr="008B66DC">
        <w:rPr>
          <w:b/>
          <w:lang w:val="en-US"/>
        </w:rPr>
        <w:t>Keywords:</w:t>
      </w:r>
      <w:r w:rsidRPr="008B66DC">
        <w:rPr>
          <w:lang w:val="en-US"/>
        </w:rPr>
        <w:t xml:space="preserve"> </w:t>
      </w:r>
      <w:r w:rsidRPr="008B66DC">
        <w:rPr>
          <w:i/>
          <w:lang w:val="en-US"/>
        </w:rPr>
        <w:t>Corporate governance, state-owned enterprises, ZESA, implementation guideline, Zimbabwe</w:t>
      </w:r>
    </w:p>
    <w:p w14:paraId="1D6DB4A5" w14:textId="77777777" w:rsidR="008B66DC" w:rsidRPr="00AD7673" w:rsidRDefault="008B66DC" w:rsidP="008724AA">
      <w:pPr>
        <w:pStyle w:val="Heading1"/>
        <w:spacing w:line="360" w:lineRule="auto"/>
        <w:rPr>
          <w:rStyle w:val="Heading1Char"/>
          <w:b/>
        </w:rPr>
      </w:pPr>
      <w:r w:rsidRPr="00AD7673">
        <w:rPr>
          <w:rStyle w:val="Heading1Char"/>
          <w:b/>
        </w:rPr>
        <w:t>Introduction</w:t>
      </w:r>
    </w:p>
    <w:p w14:paraId="14B7CCC6" w14:textId="77777777" w:rsidR="008B66DC" w:rsidRPr="008B66DC" w:rsidRDefault="008B66DC" w:rsidP="008724AA">
      <w:pPr>
        <w:spacing w:line="360" w:lineRule="auto"/>
        <w:rPr>
          <w:lang w:val="en-US"/>
        </w:rPr>
      </w:pPr>
      <w:r w:rsidRPr="008B66DC">
        <w:rPr>
          <w:lang w:val="en-US"/>
        </w:rPr>
        <w:lastRenderedPageBreak/>
        <w:t xml:space="preserve">State-Owned Enterprises (SOEs) play a crucial role in the economic development of many countries, including Zimbabwe. However, these entities often face significant financial and service delivery challenges, which can hinder competitiveness and economic progress, resulting in a financial burden and posing fiscal risks for the government </w:t>
      </w:r>
      <w:r w:rsidR="007A1B27">
        <w:rPr>
          <w:lang w:val="en-US"/>
        </w:rPr>
        <w:fldChar w:fldCharType="begin" w:fldLock="1"/>
      </w:r>
      <w:r w:rsidR="003A59CA">
        <w:rPr>
          <w:lang w:val="en-US"/>
        </w:rPr>
        <w:instrText>ADDIN CSL_CITATION {"citationItems":[{"id":"ITEM-1","itemData":{"author":[{"dropping-particle":"","family":"Masinge","given":"K.","non-dropping-particle":"","parse-names":false,"suffix":""}],"container-title":"M. A Dissertation SAUT University","id":"ITEM-1","issue":"November","issued":{"date-parts":[["2011"]]},"title":"Factors influencing the adoption of mobile banking in Tanzania","type":"article-journal"},"uris":["http://www.mendeley.com/documents/?uuid=f78208cb-34a0-4a55-b692-979f8a5de3ed"]}],"mendeley":{"formattedCitation":"(Masinge, 2011)","plainTextFormattedCitation":"(Masinge, 2011)","previouslyFormattedCitation":"(Masinge, 2011)"},"properties":{"noteIndex":0},"schema":"https://github.com/citation-style-language/schema/raw/master/csl-citation.json"}</w:instrText>
      </w:r>
      <w:r w:rsidR="007A1B27">
        <w:rPr>
          <w:lang w:val="en-US"/>
        </w:rPr>
        <w:fldChar w:fldCharType="separate"/>
      </w:r>
      <w:r w:rsidR="007A1B27" w:rsidRPr="007A1B27">
        <w:rPr>
          <w:noProof/>
          <w:lang w:val="en-US"/>
        </w:rPr>
        <w:t>(Masinge, 2011)</w:t>
      </w:r>
      <w:r w:rsidR="007A1B27">
        <w:rPr>
          <w:lang w:val="en-US"/>
        </w:rPr>
        <w:fldChar w:fldCharType="end"/>
      </w:r>
      <w:r w:rsidRPr="008B66DC">
        <w:rPr>
          <w:lang w:val="en-US"/>
        </w:rPr>
        <w:t xml:space="preserve">. To address these issues, numerous governments and international organizations have implemented strategies to enhance the effectiveness and productivity of SOEs through the reinforcement of corporate governance </w:t>
      </w:r>
      <w:r w:rsidR="003A59CA">
        <w:rPr>
          <w:lang w:val="en-US"/>
        </w:rPr>
        <w:fldChar w:fldCharType="begin" w:fldLock="1"/>
      </w:r>
      <w:r w:rsidR="003A59CA">
        <w:rPr>
          <w:lang w:val="en-US"/>
        </w:rPr>
        <w:instrText>ADDIN CSL_CITATION {"citationItems":[{"id":"ITEM-1","itemData":{"DOI":"10.1108/CG-04-2013-0051","ISSN":"14720701","abstract":"Purpose: The purpose of this study is to examine corporate governance practices in an emerging economy. It focusses on how ownership control and board control systems operate in corporate organisations in an emergent economy, assuming that these systems are essential for enhancing good corporate governance practices in emerging countries.Design/methodology/approach: The paper builds on descriptive multiple-case study with multiple units of analysis to divulge how ownership control and board control systems function to ensuring effective corporate governance in publicly listed corporate organisations in Ghana. A criterion-based sampling technique is used to select the companies. Thereafter, three techniques of data collection are used to gather data from the companies: archival records, semi-structured interviews and observation.Findings: By linking the gathered data to the paper’s theoretical propositions, the study highlights that all the companies are characterised by the presence of large shareholders, and, in consequence, they tend to exert extensive control over the activities of the companies through their involvement in the decision-making processes. However, whilst the presence of large shareholders has the tendency to solve the agency problem, it poses challenges in regards to minority shareholders’ interests in these corporate organisations. The study also reveals that boards of directors tend to exercise control over corporate organisations when majority shareholders stop interfering in their dealings. This implies that when major shareholders fully partake in corporate decision-making processes of companies, boards of directors seem to be sheer advisory bodies to management.Research limitations/implications: This is a paper to shed light on corporate governance practices in four large publicly listed corporate organisations on the Ghana Stock Exchange, so the observable facts do not apply to other emergent economies. In addition, the sample does not represent all corporate organisations in Ghana; thus, the empirical observations cannot be generalised to other organisations that have not been included in this study. However, the empirical results can be applied to other similar corporations in Ghana and other emergent economies in an analytical sense. With the application of inductive reasoning, the results can be applied to provide important appreciation in an effort to understand the structure of corporate governance practices in organisati…","author":[{"dropping-particle":"","family":"Agyemang","given":"Otuo Serebour","non-dropping-particle":"","parse-names":false,"suffix":""},{"dropping-particle":"","family":"Castellini","given":"Monia","non-dropping-particle":"","parse-names":false,"suffix":""}],"container-title":"Corporate Governance (Bingley)","id":"ITEM-1","issue":"1","issued":{"date-parts":[["2015"]]},"page":"52-84","title":"Corporate governance in an emergent economy: A case of Ghana","type":"article-journal","volume":"15"},"uris":["http://www.mendeley.com/documents/?uuid=d840c754-fed6-4ec2-87ef-68268fc119a1"]}],"mendeley":{"formattedCitation":"(Agyemang &amp; Castellini, 2015)","plainTextFormattedCitation":"(Agyemang &amp; Castellini, 2015)","previouslyFormattedCitation":"(Agyemang &amp; Castellini, 2015)"},"properties":{"noteIndex":0},"schema":"https://github.com/citation-style-language/schema/raw/master/csl-citation.json"}</w:instrText>
      </w:r>
      <w:r w:rsidR="003A59CA">
        <w:rPr>
          <w:lang w:val="en-US"/>
        </w:rPr>
        <w:fldChar w:fldCharType="separate"/>
      </w:r>
      <w:r w:rsidR="003A59CA" w:rsidRPr="003A59CA">
        <w:rPr>
          <w:noProof/>
          <w:lang w:val="en-US"/>
        </w:rPr>
        <w:t>(Agyemang &amp; Castellini, 2015)</w:t>
      </w:r>
      <w:r w:rsidR="003A59CA">
        <w:rPr>
          <w:lang w:val="en-US"/>
        </w:rPr>
        <w:fldChar w:fldCharType="end"/>
      </w:r>
      <w:r w:rsidRPr="008B66DC">
        <w:rPr>
          <w:lang w:val="en-US"/>
        </w:rPr>
        <w:t>.</w:t>
      </w:r>
    </w:p>
    <w:p w14:paraId="6A378F8F" w14:textId="77777777" w:rsidR="008B66DC" w:rsidRPr="008B66DC" w:rsidRDefault="008B66DC" w:rsidP="008724AA">
      <w:pPr>
        <w:spacing w:line="360" w:lineRule="auto"/>
        <w:rPr>
          <w:lang w:val="en-US"/>
        </w:rPr>
      </w:pPr>
      <w:r w:rsidRPr="008B66DC">
        <w:rPr>
          <w:lang w:val="en-US"/>
        </w:rPr>
        <w:t xml:space="preserve">Corporate governance is a system of rules, practices, and processes by which a company is directed and controlled </w:t>
      </w:r>
      <w:r w:rsidR="003A59CA">
        <w:rPr>
          <w:lang w:val="en-US"/>
        </w:rPr>
        <w:fldChar w:fldCharType="begin" w:fldLock="1"/>
      </w:r>
      <w:r w:rsidR="003A59CA">
        <w:rPr>
          <w:lang w:val="en-US"/>
        </w:rPr>
        <w:instrText>ADDIN CSL_CITATION {"citationItems":[{"id":"ITEM-1","itemData":{"DOI":"10.1787/9789264257443-tr","abstract":"The G20/OECD Principles of Corporate Governance help policy makers evaluate and improve the legal, regulatory, and institutional framework for corporate governance, with a view to supporting economic efficiency, sustainable growth and financial stability. First published in 1999, the Principles have since become an international benchmark for policy makers, investors, corporations and other stakeholders worldwide. They have also been adopted as one of the Financial Stability Board’s Key Standards for Sound Financial Systems and form the basis for the World Bank Reports on the Observance of Standards and Codes (ROSC) in the area of corporate governance. This edition contains the results of the second review of the Principles, conducted in 2014/15. The basis for the review was the 2004 version of the Principles, which embrace the shared understanding that a high level of transparency, accountability, board oversight, and respect for the rights of shareholders and role of key stakeholders is part of the foundation of a well-functioning corporate governance system. These core values have been maintained and strengthened to reflect experiences since 2004 and ensure the continuing high quality, relevance and usefulness of the Principles. The second review was conducted under the responsibility of the OECD Corporate Governance Committee chaired by Mr. Marcello Bianchi. All non-OECD G20 countries were invited to participate on an equal footing. Experts from relevant international organisations, notably the Basel Committee on Banking Supervision, the Financial Stability Board and the World Bank Group, also participated actively in the review. Significant contributions were received from the OECD’s regional corporate governance roundtables in Latin America, Asia and the Middle East and North Africa, experts, an online public consultation and the OECD’s official advisory bodies, the Business and Industry Advisory Committee (BIAC) and the Trade Union Advisory Committee (TUAC). A draft of the Principles was discussed by the G20/OECD Corporate Governance Forum in April 2015. Following that meeting, the OECD Council adopted the Principles on 8 July 2015. The Principles were then submitted to the G20 Leaders Summit on 15-16 November 2015 in Antalya, where they were endorsed as the G20/OECD Principles of Corporate Governance. In order to ensure their continuing relevance and accuracy, the review of the Principles was supported and informed by extensive empirical and ana…","author":[{"dropping-particle":"","family":"OCED","given":"","non-dropping-particle":"","parse-names":false,"suffix":""}],"container-title":"G20/OECD Principles of Corporate Governance","id":"ITEM-1","issued":{"date-parts":[["2016"]]},"title":"G20/OECD Principles of Corporate Governance","type":"article-journal"},"uris":["http://www.mendeley.com/documents/?uuid=98c5f420-70bf-4a36-910b-bbb6107c2b19"]}],"mendeley":{"formattedCitation":"(OCED, 2016)","plainTextFormattedCitation":"(OCED, 2016)","previouslyFormattedCitation":"(OCED, 2016)"},"properties":{"noteIndex":0},"schema":"https://github.com/citation-style-language/schema/raw/master/csl-citation.json"}</w:instrText>
      </w:r>
      <w:r w:rsidR="003A59CA">
        <w:rPr>
          <w:lang w:val="en-US"/>
        </w:rPr>
        <w:fldChar w:fldCharType="separate"/>
      </w:r>
      <w:r w:rsidR="003A59CA" w:rsidRPr="003A59CA">
        <w:rPr>
          <w:noProof/>
          <w:lang w:val="en-US"/>
        </w:rPr>
        <w:t>(OCED, 2016)</w:t>
      </w:r>
      <w:r w:rsidR="003A59CA">
        <w:rPr>
          <w:lang w:val="en-US"/>
        </w:rPr>
        <w:fldChar w:fldCharType="end"/>
      </w:r>
      <w:r w:rsidRPr="008B66DC">
        <w:rPr>
          <w:lang w:val="en-US"/>
        </w:rPr>
        <w:t xml:space="preserve">. It encompasses the relationships between a company's management, its board, its shareholders, and other stakeholders, and provides the structure through which the objectives of the company are set and the means of attaining those objectives and monitoring performance are determined </w:t>
      </w:r>
      <w:r w:rsidR="003A59CA">
        <w:rPr>
          <w:lang w:val="en-US"/>
        </w:rPr>
        <w:fldChar w:fldCharType="begin" w:fldLock="1"/>
      </w:r>
      <w:r w:rsidR="003A59CA">
        <w:rPr>
          <w:lang w:val="en-US"/>
        </w:rPr>
        <w:instrText>ADDIN CSL_CITATION {"citationItems":[{"id":"ITEM-1","itemData":{"DOI":"10.1787/9789264257443-tr","abstract":"The G20/OECD Principles of Corporate Governance help policy makers evaluate and improve the legal, regulatory, and institutional framework for corporate governance, with a view to supporting economic efficiency, sustainable growth and financial stability. First published in 1999, the Principles have since become an international benchmark for policy makers, investors, corporations and other stakeholders worldwide. They have also been adopted as one of the Financial Stability Board’s Key Standards for Sound Financial Systems and form the basis for the World Bank Reports on the Observance of Standards and Codes (ROSC) in the area of corporate governance. This edition contains the results of the second review of the Principles, conducted in 2014/15. The basis for the review was the 2004 version of the Principles, which embrace the shared understanding that a high level of transparency, accountability, board oversight, and respect for the rights of shareholders and role of key stakeholders is part of the foundation of a well-functioning corporate governance system. These core values have been maintained and strengthened to reflect experiences since 2004 and ensure the continuing high quality, relevance and usefulness of the Principles. The second review was conducted under the responsibility of the OECD Corporate Governance Committee chaired by Mr. Marcello Bianchi. All non-OECD G20 countries were invited to participate on an equal footing. Experts from relevant international organisations, notably the Basel Committee on Banking Supervision, the Financial Stability Board and the World Bank Group, also participated actively in the review. Significant contributions were received from the OECD’s regional corporate governance roundtables in Latin America, Asia and the Middle East and North Africa, experts, an online public consultation and the OECD’s official advisory bodies, the Business and Industry Advisory Committee (BIAC) and the Trade Union Advisory Committee (TUAC). A draft of the Principles was discussed by the G20/OECD Corporate Governance Forum in April 2015. Following that meeting, the OECD Council adopted the Principles on 8 July 2015. The Principles were then submitted to the G20 Leaders Summit on 15-16 November 2015 in Antalya, where they were endorsed as the G20/OECD Principles of Corporate Governance. In order to ensure their continuing relevance and accuracy, the review of the Principles was supported and informed by extensive empirical and ana…","author":[{"dropping-particle":"","family":"OCED","given":"","non-dropping-particle":"","parse-names":false,"suffix":""}],"container-title":"G20/OECD Principles of Corporate Governance","id":"ITEM-1","issued":{"date-parts":[["2016"]]},"title":"G20/OECD Principles of Corporate Governance","type":"article-journal"},"uris":["http://www.mendeley.com/documents/?uuid=98c5f420-70bf-4a36-910b-bbb6107c2b19"]}],"mendeley":{"formattedCitation":"(OCED, 2016)","plainTextFormattedCitation":"(OCED, 2016)","previouslyFormattedCitation":"(OCED, 2016)"},"properties":{"noteIndex":0},"schema":"https://github.com/citation-style-language/schema/raw/master/csl-citation.json"}</w:instrText>
      </w:r>
      <w:r w:rsidR="003A59CA">
        <w:rPr>
          <w:lang w:val="en-US"/>
        </w:rPr>
        <w:fldChar w:fldCharType="separate"/>
      </w:r>
      <w:r w:rsidR="003A59CA" w:rsidRPr="003A59CA">
        <w:rPr>
          <w:noProof/>
          <w:lang w:val="en-US"/>
        </w:rPr>
        <w:t>(OCED, 2016)</w:t>
      </w:r>
      <w:r w:rsidR="003A59CA">
        <w:rPr>
          <w:lang w:val="en-US"/>
        </w:rPr>
        <w:fldChar w:fldCharType="end"/>
      </w:r>
      <w:r w:rsidRPr="008B66DC">
        <w:rPr>
          <w:lang w:val="en-US"/>
        </w:rPr>
        <w:t xml:space="preserve">. Effective corporate governance is essential for SOEs, as it can improve their financial and operational performance, enhance transparency and accountability, and reduce the risk of mismanagement and corruption </w:t>
      </w:r>
      <w:r w:rsidR="003A59CA">
        <w:rPr>
          <w:lang w:val="en-US"/>
        </w:rPr>
        <w:fldChar w:fldCharType="begin" w:fldLock="1"/>
      </w:r>
      <w:r w:rsidR="002C0F99">
        <w:rPr>
          <w:lang w:val="en-US"/>
        </w:rPr>
        <w:instrText>ADDIN CSL_CITATION {"citationItems":[{"id":"ITEM-1","itemData":{"DOI":"10.1108/CG-04-2013-0051","ISSN":"14720701","abstract":"Purpose: The purpose of this study is to examine corporate governance practices in an emerging economy. It focusses on how ownership control and board control systems operate in corporate organisations in an emergent economy, assuming that these systems are essential for enhancing good corporate governance practices in emerging countries.Design/methodology/approach: The paper builds on descriptive multiple-case study with multiple units of analysis to divulge how ownership control and board control systems function to ensuring effective corporate governance in publicly listed corporate organisations in Ghana. A criterion-based sampling technique is used to select the companies. Thereafter, three techniques of data collection are used to gather data from the companies: archival records, semi-structured interviews and observation.Findings: By linking the gathered data to the paper’s theoretical propositions, the study highlights that all the companies are characterised by the presence of large shareholders, and, in consequence, they tend to exert extensive control over the activities of the companies through their involvement in the decision-making processes. However, whilst the presence of large shareholders has the tendency to solve the agency problem, it poses challenges in regards to minority shareholders’ interests in these corporate organisations. The study also reveals that boards of directors tend to exercise control over corporate organisations when majority shareholders stop interfering in their dealings. This implies that when major shareholders fully partake in corporate decision-making processes of companies, boards of directors seem to be sheer advisory bodies to management.Research limitations/implications: This is a paper to shed light on corporate governance practices in four large publicly listed corporate organisations on the Ghana Stock Exchange, so the observable facts do not apply to other emergent economies. In addition, the sample does not represent all corporate organisations in Ghana; thus, the empirical observations cannot be generalised to other organisations that have not been included in this study. However, the empirical results can be applied to other similar corporations in Ghana and other emergent economies in an analytical sense. With the application of inductive reasoning, the results can be applied to provide important appreciation in an effort to understand the structure of corporate governance practices in organisati…","author":[{"dropping-particle":"","family":"Agyemang","given":"Otuo Serebour","non-dropping-particle":"","parse-names":false,"suffix":""},{"dropping-particle":"","family":"Castellini","given":"Monia","non-dropping-particle":"","parse-names":false,"suffix":""}],"container-title":"Corporate Governance (Bingley)","id":"ITEM-1","issue":"1","issued":{"date-parts":[["2015"]]},"page":"52-84","title":"Corporate governance in an emergent economy: A case of Ghana","type":"article-journal","volume":"15"},"uris":["http://www.mendeley.com/documents/?uuid=d840c754-fed6-4ec2-87ef-68268fc119a1"]}],"mendeley":{"formattedCitation":"(Agyemang &amp; Castellini, 2015)","plainTextFormattedCitation":"(Agyemang &amp; Castellini, 2015)","previouslyFormattedCitation":"(Agyemang &amp; Castellini, 2015)"},"properties":{"noteIndex":0},"schema":"https://github.com/citation-style-language/schema/raw/master/csl-citation.json"}</w:instrText>
      </w:r>
      <w:r w:rsidR="003A59CA">
        <w:rPr>
          <w:lang w:val="en-US"/>
        </w:rPr>
        <w:fldChar w:fldCharType="separate"/>
      </w:r>
      <w:r w:rsidR="003A59CA" w:rsidRPr="003A59CA">
        <w:rPr>
          <w:noProof/>
          <w:lang w:val="en-US"/>
        </w:rPr>
        <w:t>(Agyemang &amp; Castellini, 2015)</w:t>
      </w:r>
      <w:r w:rsidR="003A59CA">
        <w:rPr>
          <w:lang w:val="en-US"/>
        </w:rPr>
        <w:fldChar w:fldCharType="end"/>
      </w:r>
      <w:r w:rsidRPr="008B66DC">
        <w:rPr>
          <w:lang w:val="en-US"/>
        </w:rPr>
        <w:t xml:space="preserve"> 2015).</w:t>
      </w:r>
    </w:p>
    <w:p w14:paraId="708B53A9" w14:textId="77777777" w:rsidR="008B66DC" w:rsidRPr="008B66DC" w:rsidRDefault="008B66DC" w:rsidP="008724AA">
      <w:pPr>
        <w:spacing w:line="360" w:lineRule="auto"/>
        <w:rPr>
          <w:lang w:val="en-US"/>
        </w:rPr>
      </w:pPr>
      <w:r w:rsidRPr="008B66DC">
        <w:rPr>
          <w:lang w:val="en-US"/>
        </w:rPr>
        <w:t>The Zimbabwe Electricity Supply Authority (ZESA) is one of the largest SOEs in Zimbabwe, responsible for the generation, transmission, and distribution of electricity. ZESA has faced significant challenges in recent years, including financial losses, poor service delivery, and allegations of corruption (ZESA, 2023). Strengthening the corporate governance framework within ZESA is crucial to addressing these issues and improving the overall performance of the organization.</w:t>
      </w:r>
    </w:p>
    <w:p w14:paraId="2C157E1F" w14:textId="77777777" w:rsidR="008B66DC" w:rsidRPr="008B66DC" w:rsidRDefault="008B66DC" w:rsidP="008724AA">
      <w:pPr>
        <w:spacing w:line="360" w:lineRule="auto"/>
        <w:rPr>
          <w:lang w:val="en-US"/>
        </w:rPr>
      </w:pPr>
      <w:r w:rsidRPr="008B66DC">
        <w:rPr>
          <w:lang w:val="en-US"/>
        </w:rPr>
        <w:t>The present study aimed to develop a guideline for strengthening the implementation of the corporate governance framework in Zimbabwe's SOEs, using ZESA as a case study. The specific objectives of the study were to:</w:t>
      </w:r>
    </w:p>
    <w:p w14:paraId="4F942B53" w14:textId="77777777" w:rsidR="008B66DC" w:rsidRPr="008B66DC" w:rsidRDefault="008B66DC" w:rsidP="008724AA">
      <w:pPr>
        <w:numPr>
          <w:ilvl w:val="0"/>
          <w:numId w:val="8"/>
        </w:numPr>
        <w:spacing w:line="360" w:lineRule="auto"/>
        <w:rPr>
          <w:lang w:val="en-US"/>
        </w:rPr>
      </w:pPr>
      <w:r w:rsidRPr="008B66DC">
        <w:rPr>
          <w:lang w:val="en-US"/>
        </w:rPr>
        <w:t>Establish how the corporate governance framework is understood at ZESA.</w:t>
      </w:r>
    </w:p>
    <w:p w14:paraId="024EF49C" w14:textId="77777777" w:rsidR="008B66DC" w:rsidRPr="008B66DC" w:rsidRDefault="008B66DC" w:rsidP="008724AA">
      <w:pPr>
        <w:numPr>
          <w:ilvl w:val="0"/>
          <w:numId w:val="8"/>
        </w:numPr>
        <w:spacing w:line="360" w:lineRule="auto"/>
        <w:rPr>
          <w:lang w:val="en-US"/>
        </w:rPr>
      </w:pPr>
      <w:r w:rsidRPr="008B66DC">
        <w:rPr>
          <w:lang w:val="en-US"/>
        </w:rPr>
        <w:t>Examine institutional governance practices in ZESA.</w:t>
      </w:r>
    </w:p>
    <w:p w14:paraId="2A0AB5E7" w14:textId="77777777" w:rsidR="008B66DC" w:rsidRPr="008B66DC" w:rsidRDefault="008B66DC" w:rsidP="008724AA">
      <w:pPr>
        <w:numPr>
          <w:ilvl w:val="0"/>
          <w:numId w:val="8"/>
        </w:numPr>
        <w:spacing w:line="360" w:lineRule="auto"/>
        <w:rPr>
          <w:lang w:val="en-US"/>
        </w:rPr>
      </w:pPr>
      <w:r w:rsidRPr="008B66DC">
        <w:rPr>
          <w:lang w:val="en-US"/>
        </w:rPr>
        <w:t>Determine aspects that show the effectiveness of good corporate governance practices in ZESA.</w:t>
      </w:r>
    </w:p>
    <w:p w14:paraId="0EE3AA8B" w14:textId="71D774AA" w:rsidR="008662F0" w:rsidRDefault="008B66DC" w:rsidP="00711F2B">
      <w:pPr>
        <w:numPr>
          <w:ilvl w:val="0"/>
          <w:numId w:val="8"/>
        </w:numPr>
        <w:spacing w:line="360" w:lineRule="auto"/>
        <w:rPr>
          <w:lang w:val="en-US"/>
        </w:rPr>
      </w:pPr>
      <w:r w:rsidRPr="008B66DC">
        <w:rPr>
          <w:lang w:val="en-US"/>
        </w:rPr>
        <w:lastRenderedPageBreak/>
        <w:t>Develop a guide for the implementation of the corporate governance framework in ZESA and other SOEs in Zimbabwe.</w:t>
      </w:r>
    </w:p>
    <w:p w14:paraId="2D73F22B" w14:textId="77777777" w:rsidR="00711F2B" w:rsidRPr="00711F2B" w:rsidRDefault="00711F2B" w:rsidP="00711F2B">
      <w:pPr>
        <w:spacing w:line="360" w:lineRule="auto"/>
        <w:ind w:left="720" w:firstLine="0"/>
        <w:rPr>
          <w:lang w:val="en-US"/>
        </w:rPr>
      </w:pPr>
    </w:p>
    <w:p w14:paraId="784CDEFD" w14:textId="77777777" w:rsidR="008B66DC" w:rsidRDefault="008B66DC" w:rsidP="008724AA">
      <w:pPr>
        <w:pStyle w:val="Heading1"/>
        <w:spacing w:line="360" w:lineRule="auto"/>
      </w:pPr>
      <w:r w:rsidRPr="008B66DC">
        <w:t>Theoretical Framework</w:t>
      </w:r>
    </w:p>
    <w:p w14:paraId="381396B5" w14:textId="77777777" w:rsidR="008B66DC" w:rsidRPr="008B66DC" w:rsidRDefault="008B66DC" w:rsidP="008724AA">
      <w:pPr>
        <w:spacing w:line="360" w:lineRule="auto"/>
        <w:rPr>
          <w:lang w:val="en-US"/>
        </w:rPr>
      </w:pPr>
      <w:r w:rsidRPr="008B66DC">
        <w:rPr>
          <w:lang w:val="en-US"/>
        </w:rPr>
        <w:t>The study was grounded in three key theories: the agency theory, the transaction cost theory, and the stakeholder theory.</w:t>
      </w:r>
    </w:p>
    <w:p w14:paraId="62896EE6" w14:textId="77777777" w:rsidR="008B66DC" w:rsidRPr="008B66DC" w:rsidRDefault="008B66DC" w:rsidP="008724AA">
      <w:pPr>
        <w:spacing w:line="360" w:lineRule="auto"/>
        <w:rPr>
          <w:lang w:val="en-US"/>
        </w:rPr>
      </w:pPr>
      <w:r w:rsidRPr="008B66DC">
        <w:rPr>
          <w:lang w:val="en-US"/>
        </w:rPr>
        <w:t xml:space="preserve">The agency theory </w:t>
      </w:r>
      <w:r w:rsidR="002C0F99">
        <w:rPr>
          <w:lang w:val="en-US"/>
        </w:rPr>
        <w:fldChar w:fldCharType="begin" w:fldLock="1"/>
      </w:r>
      <w:r w:rsidR="002C0F99">
        <w:rPr>
          <w:lang w:val="en-US"/>
        </w:rPr>
        <w:instrText>ADDIN CSL_CITATION {"citationItems":[{"id":"ITEM-1","itemData":{"DOI":"10.1017/CBO9780511817410.023","ISBN":"9780511817410","abstract":"The directors of such [joint stock] companies, however, being the managers rather of other people's money than of their own, it cannot well be expected that they should watch over it with the same anxious vigilance with which the partners in a private copartnery frequently watch over their own. Like the stewards of a rich man, they are easily apt to consider attention to small matters as not for their master's honour and very easily give themselves a dispensation from having it. Negligence and profusion, therefore, must always prevail, more or less, in the management of the affairs of such a company. Adam Smith, The Wealth of Nations, 1776, Cannan Edition (Modern Library, New York, 1937), p. 700. Introduction and summary Motivation of the paper In this paper we draw on recent progress in the theory of (1) property rights, (2) agency, and (3) finance to develop a theory of ownership structure for the firm. In addition to tying together elements of the theory of each of these three areas, our analysis casts new light on and has implications for a variety of issues in the professional and popular literature such as the definition of the firm, the “separation of ownership and control,” the “social responsibility” of business, the definition of a “corporate objective function,” the determination of an optimal capital structure, the specification of the content of credit agreements, the theory of organizations, and the supply side of the completeness of markets problem.","author":[{"dropping-particle":"","family":"Jensen","given":"Michael","non-dropping-particle":"","parse-names":false,"suffix":""},{"dropping-particle":"","family":"Meckling","given":"William","non-dropping-particle":"","parse-names":false,"suffix":""}],"container-title":"The Economic Nature of the Firm: A Reader, Third Edition","id":"ITEM-1","issued":{"date-parts":[["2012"]]},"page":"283-303","title":"Theory of the firm: Managerial behavior, agency costs, and ownership structure","type":"article-journal"},"uris":["http://www.mendeley.com/documents/?uuid=98d9f38b-61cd-4b0c-a17c-145bb62de606"]}],"mendeley":{"formattedCitation":"(Jensen &amp; Meckling, 2012)","plainTextFormattedCitation":"(Jensen &amp; Meckling, 2012)","previouslyFormattedCitation":"(Jensen &amp; Meckling, 2012)"},"properties":{"noteIndex":0},"schema":"https://github.com/citation-style-language/schema/raw/master/csl-citation.json"}</w:instrText>
      </w:r>
      <w:r w:rsidR="002C0F99">
        <w:rPr>
          <w:lang w:val="en-US"/>
        </w:rPr>
        <w:fldChar w:fldCharType="separate"/>
      </w:r>
      <w:r w:rsidR="002C0F99" w:rsidRPr="002C0F99">
        <w:rPr>
          <w:noProof/>
          <w:lang w:val="en-US"/>
        </w:rPr>
        <w:t>(Jensen &amp; Meckling, 2012)</w:t>
      </w:r>
      <w:r w:rsidR="002C0F99">
        <w:rPr>
          <w:lang w:val="en-US"/>
        </w:rPr>
        <w:fldChar w:fldCharType="end"/>
      </w:r>
      <w:r w:rsidRPr="008B66DC">
        <w:rPr>
          <w:lang w:val="en-US"/>
        </w:rPr>
        <w:t xml:space="preserve"> suggests that the separation of ownership and control in organizations can lead to conflicts of interest between the principal (the owner) and the agent (the manager). In the context of SOEs, the government (as the owner) may have different objectives and priorities than the management of the SOE, leading to agency problems. Effective corporate governance can help align the interests of the principal and the agent, reducing the risk of mismanagement and ensuring that the SOE is run in the best interests of its stakeholders.</w:t>
      </w:r>
    </w:p>
    <w:p w14:paraId="4D7062E4" w14:textId="77777777" w:rsidR="008B66DC" w:rsidRPr="008B66DC" w:rsidRDefault="008B66DC" w:rsidP="008724AA">
      <w:pPr>
        <w:spacing w:line="360" w:lineRule="auto"/>
        <w:rPr>
          <w:lang w:val="en-US"/>
        </w:rPr>
      </w:pPr>
      <w:r w:rsidRPr="008B66DC">
        <w:rPr>
          <w:lang w:val="en-US"/>
        </w:rPr>
        <w:t xml:space="preserve">The transaction cost theory </w:t>
      </w:r>
      <w:r w:rsidR="002C0F99">
        <w:rPr>
          <w:lang w:val="en-US"/>
        </w:rPr>
        <w:fldChar w:fldCharType="begin" w:fldLock="1"/>
      </w:r>
      <w:r w:rsidR="002C0F99">
        <w:rPr>
          <w:lang w:val="en-US"/>
        </w:rPr>
        <w:instrText>ADDIN CSL_CITATION {"citationItems":[{"id":"ITEM-1","itemData":{"author":[{"dropping-particle":"","family":"Williamson","given":"Oliver","non-dropping-particle":"","parse-names":false,"suffix":""}],"container-title":"Journal of law and economics","id":"ITEM-1","issue":"2","issued":{"date-parts":[["1979"]]},"page":"233-261","title":"The Journal of Law and Economics-Transaction cost economics.","type":"article-journal","volume":"22"},"uris":["http://www.mendeley.com/documents/?uuid=2e934c8d-81cf-452d-869e-395ac2a927bd"]}],"mendeley":{"formattedCitation":"(Williamson, 1979)","plainTextFormattedCitation":"(Williamson, 1979)","previouslyFormattedCitation":"(Williamson, 1979)"},"properties":{"noteIndex":0},"schema":"https://github.com/citation-style-language/schema/raw/master/csl-citation.json"}</w:instrText>
      </w:r>
      <w:r w:rsidR="002C0F99">
        <w:rPr>
          <w:lang w:val="en-US"/>
        </w:rPr>
        <w:fldChar w:fldCharType="separate"/>
      </w:r>
      <w:r w:rsidR="002C0F99" w:rsidRPr="002C0F99">
        <w:rPr>
          <w:noProof/>
          <w:lang w:val="en-US"/>
        </w:rPr>
        <w:t>(Williamson, 1979)</w:t>
      </w:r>
      <w:r w:rsidR="002C0F99">
        <w:rPr>
          <w:lang w:val="en-US"/>
        </w:rPr>
        <w:fldChar w:fldCharType="end"/>
      </w:r>
      <w:r w:rsidRPr="008B66DC">
        <w:rPr>
          <w:lang w:val="en-US"/>
        </w:rPr>
        <w:t xml:space="preserve"> posits that organizations should be structured in a way that minimizes transaction costs, such as the costs of negotiating, monitoring, and enforcing contracts. In the context of SOEs, effective corporate governance can help reduce transaction costs by improving transparency, accountability, and decision-making processes.</w:t>
      </w:r>
    </w:p>
    <w:p w14:paraId="6B8EAFE6" w14:textId="77777777" w:rsidR="008B66DC" w:rsidRDefault="008B66DC" w:rsidP="008724AA">
      <w:pPr>
        <w:spacing w:line="360" w:lineRule="auto"/>
        <w:rPr>
          <w:lang w:val="en-US"/>
        </w:rPr>
      </w:pPr>
      <w:r w:rsidRPr="008B66DC">
        <w:rPr>
          <w:lang w:val="en-US"/>
        </w:rPr>
        <w:t xml:space="preserve">The stakeholder theory </w:t>
      </w:r>
      <w:r w:rsidR="002C0F99">
        <w:rPr>
          <w:lang w:val="en-US"/>
        </w:rPr>
        <w:fldChar w:fldCharType="begin" w:fldLock="1"/>
      </w:r>
      <w:r w:rsidR="002C0F99">
        <w:rPr>
          <w:lang w:val="en-US"/>
        </w:rPr>
        <w:instrText>ADDIN CSL_CITATION {"citationItems":[{"id":"ITEM-1","itemData":{"DOI":"10.2139/ssrn.263511","abstract":"The purpose of this chapter is to outline the development of the idea of \"stakeholder management\" as it has come to be applied in strategic management. We begin by developing a brief history of the concept. We then suggest that traditionally the stakeholder approach to strategic management has several related characteristics that serve as distinguishing features. We review recent work on stakeholder theory and suggest how stakeholder management has affected the practice of management. We end by suggesting further research questions.","author":[{"dropping-particle":"","family":"Freeman","given":"R. Edward Edward","non-dropping-particle":"","parse-names":false,"suffix":""},{"dropping-particle":"","family":"McVea","given":"John","non-dropping-particle":"","parse-names":false,"suffix":""}],"container-title":"SSRN Electronic Journal","id":"ITEM-1","issue":"January 2001","issued":{"date-parts":[["2005"]]},"title":"A Stakeholder Approach to Strategic Management","type":"article-journal"},"uris":["http://www.mendeley.com/documents/?uuid=b753c5e1-1014-4acc-afb3-88203153bc20"]}],"mendeley":{"formattedCitation":"(Freeman &amp; McVea, 2005)","plainTextFormattedCitation":"(Freeman &amp; McVea, 2005)","previouslyFormattedCitation":"(Freeman &amp; McVea, 2005)"},"properties":{"noteIndex":0},"schema":"https://github.com/citation-style-language/schema/raw/master/csl-citation.json"}</w:instrText>
      </w:r>
      <w:r w:rsidR="002C0F99">
        <w:rPr>
          <w:lang w:val="en-US"/>
        </w:rPr>
        <w:fldChar w:fldCharType="separate"/>
      </w:r>
      <w:r w:rsidR="002C0F99" w:rsidRPr="002C0F99">
        <w:rPr>
          <w:noProof/>
          <w:lang w:val="en-US"/>
        </w:rPr>
        <w:t>(Freeman &amp; McVea, 2005)</w:t>
      </w:r>
      <w:r w:rsidR="002C0F99">
        <w:rPr>
          <w:lang w:val="en-US"/>
        </w:rPr>
        <w:fldChar w:fldCharType="end"/>
      </w:r>
      <w:r w:rsidRPr="008B66DC">
        <w:rPr>
          <w:lang w:val="en-US"/>
        </w:rPr>
        <w:t xml:space="preserve"> emphasizes the importance of considering the interests of all stakeholders, including shareholders, employees, customers, suppliers, and the community, in the management of an organization. In the context of SOEs, effective corporate governance can help balance the interests of various stakeholders and ensure that the SOE is responsive to their needs and concerns.</w:t>
      </w:r>
    </w:p>
    <w:p w14:paraId="2FDDF24D" w14:textId="77777777" w:rsidR="008662F0" w:rsidRPr="008B66DC" w:rsidRDefault="008662F0" w:rsidP="008724AA">
      <w:pPr>
        <w:spacing w:line="360" w:lineRule="auto"/>
        <w:rPr>
          <w:lang w:val="en-US"/>
        </w:rPr>
      </w:pPr>
    </w:p>
    <w:p w14:paraId="5BFEFA0C" w14:textId="77777777" w:rsidR="008B66DC" w:rsidRDefault="008B66DC" w:rsidP="008724AA">
      <w:pPr>
        <w:pStyle w:val="Heading1"/>
        <w:spacing w:line="360" w:lineRule="auto"/>
      </w:pPr>
      <w:r w:rsidRPr="008B66DC">
        <w:rPr>
          <w:rStyle w:val="Heading1Char"/>
          <w:b/>
        </w:rPr>
        <w:t>Methodology</w:t>
      </w:r>
    </w:p>
    <w:p w14:paraId="5FCB82FD" w14:textId="77777777" w:rsidR="00460F1D" w:rsidRDefault="008B66DC" w:rsidP="008724AA">
      <w:pPr>
        <w:spacing w:line="360" w:lineRule="auto"/>
        <w:rPr>
          <w:lang w:val="en-US"/>
        </w:rPr>
      </w:pPr>
      <w:r w:rsidRPr="008B66DC">
        <w:rPr>
          <w:lang w:val="en-US"/>
        </w:rPr>
        <w:t xml:space="preserve">This study employed a descriptive research design to explore the implementation of corporate governance tenets at ZESA. </w:t>
      </w:r>
      <w:r w:rsidR="00460F1D" w:rsidRPr="00460F1D">
        <w:rPr>
          <w:lang w:val="en-US"/>
        </w:rPr>
        <w:t xml:space="preserve">A descriptive research design is particularly effective for this purpose, as it allows for the systematic collection of data that reflects the current state </w:t>
      </w:r>
      <w:r w:rsidR="00460F1D" w:rsidRPr="00460F1D">
        <w:rPr>
          <w:lang w:val="en-US"/>
        </w:rPr>
        <w:lastRenderedPageBreak/>
        <w:t>of affairs concerning corpora</w:t>
      </w:r>
      <w:r w:rsidR="00460F1D">
        <w:rPr>
          <w:lang w:val="en-US"/>
        </w:rPr>
        <w:t xml:space="preserve">te governance (Creswell, 2014). </w:t>
      </w:r>
      <w:r w:rsidR="00460F1D" w:rsidRPr="00460F1D">
        <w:rPr>
          <w:lang w:val="en-US"/>
        </w:rPr>
        <w:t xml:space="preserve">This design facilitates a comprehensive understanding of the existing governance practices, as it employs both qualitative and quantitative methods to gather a wide range of insights (Bryman, 2016). </w:t>
      </w:r>
    </w:p>
    <w:p w14:paraId="1D6CFB94" w14:textId="77777777" w:rsidR="00460F1D" w:rsidRPr="00460F1D" w:rsidRDefault="00460F1D" w:rsidP="008724AA">
      <w:pPr>
        <w:spacing w:line="360" w:lineRule="auto"/>
        <w:rPr>
          <w:lang w:val="en-US"/>
        </w:rPr>
      </w:pPr>
      <w:r w:rsidRPr="00460F1D">
        <w:rPr>
          <w:lang w:val="en-US"/>
        </w:rPr>
        <w:t>The use of a structured Likert scale questionnaire provided a quantitative measure of respondents' perceptions regarding corporate governance. This method is advantageous for quantifying attitudes and opinions in a standardized way, allowing for statistical ana</w:t>
      </w:r>
      <w:r>
        <w:rPr>
          <w:lang w:val="en-US"/>
        </w:rPr>
        <w:t xml:space="preserve">lysis (Fowler, 2014). </w:t>
      </w:r>
      <w:r w:rsidRPr="00460F1D">
        <w:rPr>
          <w:lang w:val="en-US"/>
        </w:rPr>
        <w:t xml:space="preserve"> High response rates (81.25% overall) enhance the reliability of the findings, making them more credible (Johnson &amp; Johnson, 2021). The reliability analysis (Cronbach’s Alpha) further supports the consistency of the constructs mea</w:t>
      </w:r>
      <w:r>
        <w:rPr>
          <w:lang w:val="en-US"/>
        </w:rPr>
        <w:t xml:space="preserve">sured (Heale &amp; Twycross, 2015). </w:t>
      </w:r>
      <w:r w:rsidRPr="00460F1D">
        <w:rPr>
          <w:lang w:val="en-US"/>
        </w:rPr>
        <w:t>Qualitative interviews provided deeper insights into the organizational culture and governance practices at ZESA. This approach is beneficial for exploring complex issues that cannot be adequately captured through quantitative</w:t>
      </w:r>
      <w:r>
        <w:rPr>
          <w:lang w:val="en-US"/>
        </w:rPr>
        <w:t xml:space="preserve"> measures alone (Patton, 2015). </w:t>
      </w:r>
      <w:r w:rsidRPr="00460F1D">
        <w:rPr>
          <w:lang w:val="en-US"/>
        </w:rPr>
        <w:t>Combining both qualitative and quantitative methods allows for triangulation, enhancing the robustness of the findings by cross-verifying evidence from different sources (Denzin, 2017).</w:t>
      </w:r>
    </w:p>
    <w:p w14:paraId="78FC242B" w14:textId="77777777" w:rsidR="00460F1D" w:rsidRPr="00460F1D" w:rsidRDefault="00460F1D" w:rsidP="008724AA">
      <w:pPr>
        <w:spacing w:line="360" w:lineRule="auto"/>
        <w:rPr>
          <w:lang w:val="en-US"/>
        </w:rPr>
      </w:pPr>
      <w:r w:rsidRPr="00460F1D">
        <w:rPr>
          <w:lang w:val="en-US"/>
        </w:rPr>
        <w:t>Stratified Random Sampling</w:t>
      </w:r>
      <w:r>
        <w:rPr>
          <w:lang w:val="en-US"/>
        </w:rPr>
        <w:t xml:space="preserve"> </w:t>
      </w:r>
      <w:r w:rsidRPr="00460F1D">
        <w:rPr>
          <w:lang w:val="en-US"/>
        </w:rPr>
        <w:t>was employed to ensure that different divisions within ZESA were adequately represented, which is crucial for obtaining a comprehensive view of governance practices across the organization (Creswell, 2014).</w:t>
      </w:r>
    </w:p>
    <w:p w14:paraId="7C0489CB" w14:textId="77777777" w:rsidR="00460F1D" w:rsidRPr="00460F1D" w:rsidRDefault="00460F1D" w:rsidP="008724AA">
      <w:pPr>
        <w:spacing w:line="360" w:lineRule="auto"/>
        <w:ind w:firstLine="0"/>
        <w:rPr>
          <w:lang w:val="en-US"/>
        </w:rPr>
      </w:pPr>
      <w:r w:rsidRPr="00460F1D">
        <w:rPr>
          <w:lang w:val="en-US"/>
        </w:rPr>
        <w:t>Purposive Sampling for Interviews</w:t>
      </w:r>
      <w:r>
        <w:rPr>
          <w:lang w:val="en-US"/>
        </w:rPr>
        <w:t xml:space="preserve"> was used in s</w:t>
      </w:r>
      <w:r w:rsidRPr="00460F1D">
        <w:rPr>
          <w:lang w:val="en-US"/>
        </w:rPr>
        <w:t>electing key informants such as directors and managers allowed for targeted insights into governance issues, as these individuals have a significant understanding of the corporate governance framework (</w:t>
      </w:r>
      <w:proofErr w:type="spellStart"/>
      <w:r w:rsidRPr="00460F1D">
        <w:rPr>
          <w:lang w:val="en-US"/>
        </w:rPr>
        <w:t>Etikan</w:t>
      </w:r>
      <w:proofErr w:type="spellEnd"/>
      <w:r w:rsidRPr="00460F1D">
        <w:rPr>
          <w:lang w:val="en-US"/>
        </w:rPr>
        <w:t xml:space="preserve"> et al., 2016).</w:t>
      </w:r>
    </w:p>
    <w:p w14:paraId="582F52D2" w14:textId="1939DA79" w:rsidR="008B66DC" w:rsidRDefault="00460F1D" w:rsidP="008724AA">
      <w:pPr>
        <w:spacing w:line="360" w:lineRule="auto"/>
        <w:rPr>
          <w:lang w:val="en-US"/>
        </w:rPr>
      </w:pPr>
      <w:r w:rsidRPr="00460F1D">
        <w:rPr>
          <w:lang w:val="en-US"/>
        </w:rPr>
        <w:t>The use of SPSS for quantitative data analysis and NVivo for qualitative data analysis strengthens the methodological rigor, as these tools are widely recognized for their capabilities in handling complex data sets (Field, 2013; QSR International, 2020).</w:t>
      </w:r>
      <w:r w:rsidR="008662F0">
        <w:rPr>
          <w:lang w:val="en-US"/>
        </w:rPr>
        <w:t xml:space="preserve"> </w:t>
      </w:r>
      <w:r>
        <w:rPr>
          <w:lang w:val="en-US"/>
        </w:rPr>
        <w:t>The</w:t>
      </w:r>
      <w:r w:rsidRPr="00460F1D">
        <w:rPr>
          <w:lang w:val="en-US"/>
        </w:rPr>
        <w:t xml:space="preserve"> combination of a descriptive research design, quantitative and qualitative methodologies, and ro</w:t>
      </w:r>
      <w:r w:rsidR="00505FEB">
        <w:rPr>
          <w:lang w:val="en-US"/>
        </w:rPr>
        <w:t>bust sampling techniques ensured</w:t>
      </w:r>
      <w:r w:rsidRPr="00460F1D">
        <w:rPr>
          <w:lang w:val="en-US"/>
        </w:rPr>
        <w:t xml:space="preserve"> a comprehensive exploration of the corporate governance framework at ZESA. This methodological approach not only provides a clear picture of current practices but also identifies areas for improvement, aligning with the study's objectives to enhance governance in Zimbabwe's state-owned enterprises</w:t>
      </w:r>
      <w:r w:rsidR="008662F0">
        <w:rPr>
          <w:lang w:val="en-US"/>
        </w:rPr>
        <w:t>.</w:t>
      </w:r>
    </w:p>
    <w:p w14:paraId="3327A0AE" w14:textId="77777777" w:rsidR="008662F0" w:rsidRPr="008B66DC" w:rsidRDefault="008662F0" w:rsidP="008724AA">
      <w:pPr>
        <w:spacing w:line="360" w:lineRule="auto"/>
        <w:rPr>
          <w:lang w:val="en-US"/>
        </w:rPr>
      </w:pPr>
    </w:p>
    <w:p w14:paraId="2A892B57" w14:textId="77777777" w:rsidR="008B66DC" w:rsidRDefault="008B66DC" w:rsidP="008724AA">
      <w:pPr>
        <w:spacing w:line="360" w:lineRule="auto"/>
        <w:jc w:val="center"/>
        <w:rPr>
          <w:rStyle w:val="Heading1Char"/>
          <w:lang w:val="en-US"/>
        </w:rPr>
      </w:pPr>
      <w:r w:rsidRPr="008B66DC">
        <w:rPr>
          <w:rStyle w:val="Heading1Char"/>
          <w:lang w:val="en-US"/>
        </w:rPr>
        <w:t>Findings and Discussion</w:t>
      </w:r>
    </w:p>
    <w:p w14:paraId="6B507568"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The findings were presented in a narrative fashion, which aligned with the research objectives</w:t>
      </w:r>
      <w:r w:rsidR="00544A0B">
        <w:rPr>
          <w:rFonts w:cs="Times New Roman"/>
          <w:color w:val="auto"/>
          <w:szCs w:val="24"/>
        </w:rPr>
        <w:t xml:space="preserve"> and t</w:t>
      </w:r>
      <w:r w:rsidRPr="00CB6CDB">
        <w:rPr>
          <w:rFonts w:cs="Times New Roman"/>
          <w:color w:val="auto"/>
          <w:szCs w:val="24"/>
        </w:rPr>
        <w:t xml:space="preserve">he key informant interview data was </w:t>
      </w:r>
      <w:proofErr w:type="spellStart"/>
      <w:r w:rsidRPr="00CB6CDB">
        <w:rPr>
          <w:rFonts w:cs="Times New Roman"/>
          <w:color w:val="auto"/>
          <w:szCs w:val="24"/>
        </w:rPr>
        <w:t>analyzed</w:t>
      </w:r>
      <w:proofErr w:type="spellEnd"/>
      <w:r w:rsidRPr="00CB6CDB">
        <w:rPr>
          <w:rFonts w:cs="Times New Roman"/>
          <w:color w:val="auto"/>
          <w:szCs w:val="24"/>
        </w:rPr>
        <w:t xml:space="preserve"> using NVivo version 20, while the quantitative data collected from the structured questionnaire was examined using Statistical Package for Social Sciences (SPSS) version 23. Microsoft Excel was utilized specifically for generating graphs and pie charts to present certain quantitative facts. </w:t>
      </w:r>
    </w:p>
    <w:p w14:paraId="08B4F798" w14:textId="77777777" w:rsidR="00CB6CDB" w:rsidRPr="00CB6CDB" w:rsidRDefault="00CB6CDB" w:rsidP="008724AA">
      <w:pPr>
        <w:spacing w:line="360" w:lineRule="auto"/>
        <w:contextualSpacing/>
        <w:rPr>
          <w:rFonts w:cs="Times New Roman"/>
          <w:color w:val="auto"/>
          <w:szCs w:val="24"/>
          <w:lang w:val="en-US" w:eastAsia="en-US"/>
        </w:rPr>
      </w:pPr>
      <w:r w:rsidRPr="00CB6CDB">
        <w:rPr>
          <w:rFonts w:cs="Times New Roman"/>
          <w:color w:val="auto"/>
          <w:szCs w:val="24"/>
          <w:lang w:val="en-US" w:eastAsia="en-US"/>
        </w:rPr>
        <w:t>In the study, a total of 61 study participants provided data with 53 who completed the questionnaire while 8 were</w:t>
      </w:r>
      <w:r w:rsidR="00544A0B">
        <w:rPr>
          <w:rFonts w:cs="Times New Roman"/>
          <w:color w:val="auto"/>
          <w:szCs w:val="24"/>
          <w:lang w:val="en-US" w:eastAsia="en-US"/>
        </w:rPr>
        <w:t xml:space="preserve"> interviewed as shown in Table </w:t>
      </w:r>
      <w:r w:rsidRPr="00CB6CDB">
        <w:rPr>
          <w:rFonts w:cs="Times New Roman"/>
          <w:color w:val="auto"/>
          <w:szCs w:val="24"/>
          <w:lang w:val="en-US" w:eastAsia="en-US"/>
        </w:rPr>
        <w:t>1 below with the respective response rates.</w:t>
      </w:r>
    </w:p>
    <w:p w14:paraId="218B2969" w14:textId="77777777" w:rsidR="00CB6CDB" w:rsidRPr="00CB6CDB" w:rsidRDefault="00CB6CDB" w:rsidP="008724AA">
      <w:pPr>
        <w:spacing w:line="360" w:lineRule="auto"/>
        <w:ind w:firstLine="0"/>
        <w:rPr>
          <w:rFonts w:cs="Times New Roman"/>
          <w:b/>
          <w:iCs/>
          <w:szCs w:val="24"/>
          <w:lang w:val="en-ZA" w:eastAsia="en-ZA"/>
        </w:rPr>
      </w:pPr>
      <w:bookmarkStart w:id="0" w:name="_Toc129383569"/>
    </w:p>
    <w:p w14:paraId="72C0548B" w14:textId="77777777" w:rsidR="00CB6CDB" w:rsidRPr="00CB6CDB" w:rsidRDefault="00544A0B" w:rsidP="008724AA">
      <w:pPr>
        <w:spacing w:line="360" w:lineRule="auto"/>
        <w:ind w:firstLine="0"/>
        <w:rPr>
          <w:rFonts w:cs="Times New Roman"/>
          <w:i/>
          <w:iCs/>
          <w:szCs w:val="24"/>
          <w:lang w:val="en-ZA" w:eastAsia="en-ZA"/>
        </w:rPr>
      </w:pPr>
      <w:r>
        <w:rPr>
          <w:rFonts w:cs="Times New Roman"/>
          <w:b/>
          <w:iCs/>
          <w:szCs w:val="24"/>
          <w:lang w:val="en-ZA" w:eastAsia="en-ZA"/>
        </w:rPr>
        <w:t xml:space="preserve">Table </w:t>
      </w:r>
      <w:r w:rsidR="00CB6CDB" w:rsidRPr="00CB6CDB">
        <w:rPr>
          <w:rFonts w:cs="Times New Roman"/>
          <w:b/>
          <w:iCs/>
          <w:szCs w:val="24"/>
          <w:lang w:val="en-ZA" w:eastAsia="en-ZA"/>
        </w:rPr>
        <w:t xml:space="preserve">1: </w:t>
      </w:r>
      <w:r w:rsidR="00CB6CDB" w:rsidRPr="00CB6CDB">
        <w:rPr>
          <w:rFonts w:cs="Times New Roman"/>
          <w:b/>
          <w:bCs/>
          <w:szCs w:val="24"/>
          <w:lang w:val="en-ZA" w:eastAsia="en-ZA"/>
        </w:rPr>
        <w:t>Response rates</w:t>
      </w:r>
      <w:bookmarkEnd w:id="0"/>
    </w:p>
    <w:tbl>
      <w:tblPr>
        <w:tblStyle w:val="TableGrid"/>
        <w:tblW w:w="0" w:type="auto"/>
        <w:tblLook w:val="04A0" w:firstRow="1" w:lastRow="0" w:firstColumn="1" w:lastColumn="0" w:noHBand="0" w:noVBand="1"/>
      </w:tblPr>
      <w:tblGrid>
        <w:gridCol w:w="2405"/>
        <w:gridCol w:w="2103"/>
        <w:gridCol w:w="2575"/>
        <w:gridCol w:w="1933"/>
      </w:tblGrid>
      <w:tr w:rsidR="00CB6CDB" w:rsidRPr="00CB6CDB" w14:paraId="75871D7F" w14:textId="77777777" w:rsidTr="00DB73C9">
        <w:tc>
          <w:tcPr>
            <w:tcW w:w="2405" w:type="dxa"/>
          </w:tcPr>
          <w:p w14:paraId="57784990" w14:textId="77777777" w:rsidR="00CB6CDB" w:rsidRPr="00CB6CDB" w:rsidRDefault="00CB6CDB" w:rsidP="008724AA">
            <w:pPr>
              <w:spacing w:before="100" w:beforeAutospacing="1" w:after="255" w:afterAutospacing="1" w:line="360" w:lineRule="auto"/>
              <w:jc w:val="both"/>
              <w:rPr>
                <w:rFonts w:ascii="Times New Roman" w:hAnsi="Times New Roman" w:cs="Times New Roman"/>
                <w:b/>
                <w:bCs/>
                <w:color w:val="auto"/>
                <w:sz w:val="24"/>
                <w:szCs w:val="24"/>
              </w:rPr>
            </w:pPr>
            <w:r w:rsidRPr="00CB6CDB">
              <w:rPr>
                <w:rFonts w:ascii="Times New Roman" w:hAnsi="Times New Roman" w:cs="Times New Roman"/>
                <w:b/>
                <w:bCs/>
                <w:color w:val="auto"/>
                <w:sz w:val="24"/>
                <w:szCs w:val="24"/>
              </w:rPr>
              <w:t>Data collection tool</w:t>
            </w:r>
          </w:p>
        </w:tc>
        <w:tc>
          <w:tcPr>
            <w:tcW w:w="2103" w:type="dxa"/>
          </w:tcPr>
          <w:p w14:paraId="3CAAF6E6" w14:textId="77777777" w:rsidR="00CB6CDB" w:rsidRPr="00CB6CDB" w:rsidRDefault="00CB6CDB" w:rsidP="008724AA">
            <w:pPr>
              <w:spacing w:before="100" w:beforeAutospacing="1" w:after="255" w:afterAutospacing="1" w:line="360" w:lineRule="auto"/>
              <w:jc w:val="both"/>
              <w:rPr>
                <w:rFonts w:ascii="Times New Roman" w:hAnsi="Times New Roman" w:cs="Times New Roman"/>
                <w:b/>
                <w:bCs/>
                <w:color w:val="auto"/>
                <w:sz w:val="24"/>
                <w:szCs w:val="24"/>
              </w:rPr>
            </w:pPr>
            <w:r w:rsidRPr="00CB6CDB">
              <w:rPr>
                <w:rFonts w:ascii="Times New Roman" w:hAnsi="Times New Roman" w:cs="Times New Roman"/>
                <w:b/>
                <w:bCs/>
                <w:color w:val="auto"/>
                <w:sz w:val="24"/>
                <w:szCs w:val="24"/>
              </w:rPr>
              <w:t>Sample size</w:t>
            </w:r>
          </w:p>
        </w:tc>
        <w:tc>
          <w:tcPr>
            <w:tcW w:w="2575" w:type="dxa"/>
          </w:tcPr>
          <w:p w14:paraId="05CEAA61" w14:textId="77777777" w:rsidR="00CB6CDB" w:rsidRPr="00CB6CDB" w:rsidRDefault="00CB6CDB" w:rsidP="008724AA">
            <w:pPr>
              <w:spacing w:before="100" w:beforeAutospacing="1" w:after="255" w:afterAutospacing="1" w:line="360" w:lineRule="auto"/>
              <w:jc w:val="both"/>
              <w:rPr>
                <w:rFonts w:ascii="Times New Roman" w:hAnsi="Times New Roman" w:cs="Times New Roman"/>
                <w:b/>
                <w:bCs/>
                <w:color w:val="auto"/>
                <w:sz w:val="24"/>
                <w:szCs w:val="24"/>
              </w:rPr>
            </w:pPr>
            <w:r w:rsidRPr="00CB6CDB">
              <w:rPr>
                <w:rFonts w:ascii="Times New Roman" w:hAnsi="Times New Roman" w:cs="Times New Roman"/>
                <w:b/>
                <w:bCs/>
                <w:color w:val="auto"/>
                <w:sz w:val="24"/>
                <w:szCs w:val="24"/>
              </w:rPr>
              <w:t>Number of respondents</w:t>
            </w:r>
          </w:p>
        </w:tc>
        <w:tc>
          <w:tcPr>
            <w:tcW w:w="1933" w:type="dxa"/>
          </w:tcPr>
          <w:p w14:paraId="646AF007" w14:textId="77777777" w:rsidR="00CB6CDB" w:rsidRPr="00CB6CDB" w:rsidRDefault="00CB6CDB" w:rsidP="008724AA">
            <w:pPr>
              <w:spacing w:before="100" w:beforeAutospacing="1" w:after="255" w:afterAutospacing="1" w:line="360" w:lineRule="auto"/>
              <w:jc w:val="both"/>
              <w:rPr>
                <w:rFonts w:ascii="Times New Roman" w:hAnsi="Times New Roman" w:cs="Times New Roman"/>
                <w:b/>
                <w:bCs/>
                <w:color w:val="auto"/>
                <w:sz w:val="24"/>
                <w:szCs w:val="24"/>
              </w:rPr>
            </w:pPr>
            <w:r w:rsidRPr="00CB6CDB">
              <w:rPr>
                <w:rFonts w:ascii="Times New Roman" w:hAnsi="Times New Roman" w:cs="Times New Roman"/>
                <w:b/>
                <w:bCs/>
                <w:color w:val="auto"/>
                <w:sz w:val="24"/>
                <w:szCs w:val="24"/>
              </w:rPr>
              <w:t>Response rate (%)</w:t>
            </w:r>
          </w:p>
        </w:tc>
      </w:tr>
      <w:tr w:rsidR="00CB6CDB" w:rsidRPr="00CB6CDB" w14:paraId="59B6CA1F" w14:textId="77777777" w:rsidTr="00DB73C9">
        <w:tc>
          <w:tcPr>
            <w:tcW w:w="2405" w:type="dxa"/>
          </w:tcPr>
          <w:p w14:paraId="5B8392FC" w14:textId="77777777" w:rsidR="00CB6CDB" w:rsidRPr="00CB6CDB" w:rsidRDefault="00CB6CDB" w:rsidP="008724AA">
            <w:pPr>
              <w:spacing w:before="100" w:beforeAutospacing="1" w:after="255" w:afterAutospacing="1" w:line="360" w:lineRule="auto"/>
              <w:jc w:val="both"/>
              <w:rPr>
                <w:rFonts w:ascii="Times New Roman" w:hAnsi="Times New Roman" w:cs="Times New Roman"/>
                <w:color w:val="auto"/>
                <w:sz w:val="24"/>
                <w:szCs w:val="24"/>
              </w:rPr>
            </w:pPr>
            <w:r w:rsidRPr="00CB6CDB">
              <w:rPr>
                <w:rFonts w:ascii="Times New Roman" w:hAnsi="Times New Roman" w:cs="Times New Roman"/>
                <w:color w:val="auto"/>
                <w:sz w:val="24"/>
                <w:szCs w:val="24"/>
              </w:rPr>
              <w:t>Questionnaire</w:t>
            </w:r>
          </w:p>
        </w:tc>
        <w:tc>
          <w:tcPr>
            <w:tcW w:w="2103" w:type="dxa"/>
          </w:tcPr>
          <w:p w14:paraId="61AAC581" w14:textId="77777777" w:rsidR="00CB6CDB" w:rsidRPr="00CB6CDB" w:rsidRDefault="00CB6CDB" w:rsidP="008724AA">
            <w:pPr>
              <w:spacing w:before="100" w:beforeAutospacing="1" w:after="255" w:afterAutospacing="1" w:line="360" w:lineRule="auto"/>
              <w:jc w:val="both"/>
              <w:rPr>
                <w:rFonts w:ascii="Times New Roman" w:hAnsi="Times New Roman" w:cs="Times New Roman"/>
                <w:color w:val="auto"/>
                <w:sz w:val="24"/>
                <w:szCs w:val="24"/>
              </w:rPr>
            </w:pPr>
            <w:r w:rsidRPr="00CB6CDB">
              <w:rPr>
                <w:rFonts w:ascii="Times New Roman" w:hAnsi="Times New Roman" w:cs="Times New Roman"/>
                <w:color w:val="auto"/>
                <w:sz w:val="24"/>
                <w:szCs w:val="24"/>
              </w:rPr>
              <w:t>59</w:t>
            </w:r>
          </w:p>
        </w:tc>
        <w:tc>
          <w:tcPr>
            <w:tcW w:w="2575" w:type="dxa"/>
          </w:tcPr>
          <w:p w14:paraId="6F67DEA5" w14:textId="77777777" w:rsidR="00CB6CDB" w:rsidRPr="00CB6CDB" w:rsidRDefault="00CB6CDB" w:rsidP="008724AA">
            <w:pPr>
              <w:spacing w:before="100" w:beforeAutospacing="1" w:after="255" w:afterAutospacing="1" w:line="360" w:lineRule="auto"/>
              <w:jc w:val="both"/>
              <w:rPr>
                <w:rFonts w:ascii="Times New Roman" w:hAnsi="Times New Roman" w:cs="Times New Roman"/>
                <w:color w:val="auto"/>
                <w:sz w:val="24"/>
                <w:szCs w:val="24"/>
              </w:rPr>
            </w:pPr>
            <w:r w:rsidRPr="00CB6CDB">
              <w:rPr>
                <w:rFonts w:ascii="Times New Roman" w:hAnsi="Times New Roman" w:cs="Times New Roman"/>
                <w:color w:val="auto"/>
                <w:sz w:val="24"/>
                <w:szCs w:val="24"/>
              </w:rPr>
              <w:t>53</w:t>
            </w:r>
          </w:p>
        </w:tc>
        <w:tc>
          <w:tcPr>
            <w:tcW w:w="1933" w:type="dxa"/>
          </w:tcPr>
          <w:p w14:paraId="7ED558A6" w14:textId="77777777" w:rsidR="00CB6CDB" w:rsidRPr="00CB6CDB" w:rsidRDefault="00CB6CDB" w:rsidP="008724AA">
            <w:pPr>
              <w:spacing w:before="100" w:beforeAutospacing="1" w:after="255" w:afterAutospacing="1" w:line="360" w:lineRule="auto"/>
              <w:jc w:val="both"/>
              <w:rPr>
                <w:rFonts w:ascii="Times New Roman" w:hAnsi="Times New Roman" w:cs="Times New Roman"/>
                <w:color w:val="auto"/>
                <w:sz w:val="24"/>
                <w:szCs w:val="24"/>
              </w:rPr>
            </w:pPr>
            <w:r w:rsidRPr="00CB6CDB">
              <w:rPr>
                <w:rFonts w:ascii="Times New Roman" w:hAnsi="Times New Roman" w:cs="Times New Roman"/>
                <w:color w:val="auto"/>
                <w:sz w:val="24"/>
                <w:szCs w:val="24"/>
              </w:rPr>
              <w:t>89.8</w:t>
            </w:r>
          </w:p>
        </w:tc>
      </w:tr>
      <w:tr w:rsidR="00CB6CDB" w:rsidRPr="00CB6CDB" w14:paraId="16EC86B1" w14:textId="77777777" w:rsidTr="00DB73C9">
        <w:tc>
          <w:tcPr>
            <w:tcW w:w="2405" w:type="dxa"/>
          </w:tcPr>
          <w:p w14:paraId="5474DDCE" w14:textId="77777777" w:rsidR="00CB6CDB" w:rsidRPr="00CB6CDB" w:rsidRDefault="00CB6CDB" w:rsidP="008724AA">
            <w:pPr>
              <w:spacing w:before="100" w:beforeAutospacing="1" w:after="255" w:afterAutospacing="1" w:line="360" w:lineRule="auto"/>
              <w:jc w:val="both"/>
              <w:rPr>
                <w:rFonts w:ascii="Times New Roman" w:hAnsi="Times New Roman" w:cs="Times New Roman"/>
                <w:color w:val="auto"/>
                <w:sz w:val="24"/>
                <w:szCs w:val="24"/>
              </w:rPr>
            </w:pPr>
            <w:r w:rsidRPr="00CB6CDB">
              <w:rPr>
                <w:rFonts w:ascii="Times New Roman" w:hAnsi="Times New Roman" w:cs="Times New Roman"/>
                <w:color w:val="auto"/>
                <w:sz w:val="24"/>
                <w:szCs w:val="24"/>
              </w:rPr>
              <w:t xml:space="preserve">Key informant interview </w:t>
            </w:r>
          </w:p>
        </w:tc>
        <w:tc>
          <w:tcPr>
            <w:tcW w:w="2103" w:type="dxa"/>
          </w:tcPr>
          <w:p w14:paraId="226DF9CF" w14:textId="77777777" w:rsidR="00CB6CDB" w:rsidRPr="00CB6CDB" w:rsidRDefault="00CB6CDB" w:rsidP="008724AA">
            <w:pPr>
              <w:spacing w:before="100" w:beforeAutospacing="1" w:after="255" w:afterAutospacing="1" w:line="360" w:lineRule="auto"/>
              <w:jc w:val="both"/>
              <w:rPr>
                <w:rFonts w:ascii="Times New Roman" w:hAnsi="Times New Roman" w:cs="Times New Roman"/>
                <w:color w:val="auto"/>
                <w:sz w:val="24"/>
                <w:szCs w:val="24"/>
              </w:rPr>
            </w:pPr>
            <w:r w:rsidRPr="00CB6CDB">
              <w:rPr>
                <w:rFonts w:ascii="Times New Roman" w:hAnsi="Times New Roman" w:cs="Times New Roman"/>
                <w:color w:val="auto"/>
                <w:sz w:val="24"/>
                <w:szCs w:val="24"/>
              </w:rPr>
              <w:t>11</w:t>
            </w:r>
          </w:p>
        </w:tc>
        <w:tc>
          <w:tcPr>
            <w:tcW w:w="2575" w:type="dxa"/>
          </w:tcPr>
          <w:p w14:paraId="70154919" w14:textId="77777777" w:rsidR="00CB6CDB" w:rsidRPr="00CB6CDB" w:rsidRDefault="00CB6CDB" w:rsidP="008724AA">
            <w:pPr>
              <w:spacing w:before="100" w:beforeAutospacing="1" w:after="255" w:afterAutospacing="1" w:line="360" w:lineRule="auto"/>
              <w:jc w:val="both"/>
              <w:rPr>
                <w:rFonts w:ascii="Times New Roman" w:hAnsi="Times New Roman" w:cs="Times New Roman"/>
                <w:color w:val="auto"/>
                <w:sz w:val="24"/>
                <w:szCs w:val="24"/>
              </w:rPr>
            </w:pPr>
            <w:r w:rsidRPr="00CB6CDB">
              <w:rPr>
                <w:rFonts w:ascii="Times New Roman" w:hAnsi="Times New Roman" w:cs="Times New Roman"/>
                <w:color w:val="auto"/>
                <w:sz w:val="24"/>
                <w:szCs w:val="24"/>
              </w:rPr>
              <w:t>8</w:t>
            </w:r>
          </w:p>
        </w:tc>
        <w:tc>
          <w:tcPr>
            <w:tcW w:w="1933" w:type="dxa"/>
          </w:tcPr>
          <w:p w14:paraId="7BA2282F" w14:textId="77777777" w:rsidR="00CB6CDB" w:rsidRPr="00CB6CDB" w:rsidRDefault="00CB6CDB" w:rsidP="008724AA">
            <w:pPr>
              <w:spacing w:before="100" w:beforeAutospacing="1" w:after="255" w:afterAutospacing="1" w:line="360" w:lineRule="auto"/>
              <w:jc w:val="both"/>
              <w:rPr>
                <w:rFonts w:ascii="Times New Roman" w:hAnsi="Times New Roman" w:cs="Times New Roman"/>
                <w:color w:val="auto"/>
                <w:sz w:val="24"/>
                <w:szCs w:val="24"/>
              </w:rPr>
            </w:pPr>
            <w:r w:rsidRPr="00CB6CDB">
              <w:rPr>
                <w:rFonts w:ascii="Times New Roman" w:hAnsi="Times New Roman" w:cs="Times New Roman"/>
                <w:color w:val="auto"/>
                <w:sz w:val="24"/>
                <w:szCs w:val="24"/>
              </w:rPr>
              <w:t>72.7</w:t>
            </w:r>
          </w:p>
        </w:tc>
      </w:tr>
      <w:tr w:rsidR="00CB6CDB" w:rsidRPr="00CB6CDB" w14:paraId="64D916DF" w14:textId="77777777" w:rsidTr="00DB73C9">
        <w:tc>
          <w:tcPr>
            <w:tcW w:w="2405" w:type="dxa"/>
          </w:tcPr>
          <w:p w14:paraId="0AF7F245" w14:textId="77777777" w:rsidR="00CB6CDB" w:rsidRPr="00CB6CDB" w:rsidRDefault="00CB6CDB" w:rsidP="008724AA">
            <w:pPr>
              <w:spacing w:before="100" w:beforeAutospacing="1" w:after="255" w:afterAutospacing="1" w:line="360" w:lineRule="auto"/>
              <w:jc w:val="both"/>
              <w:rPr>
                <w:rFonts w:ascii="Times New Roman" w:hAnsi="Times New Roman" w:cs="Times New Roman"/>
                <w:b/>
                <w:bCs/>
                <w:color w:val="auto"/>
                <w:sz w:val="24"/>
                <w:szCs w:val="24"/>
              </w:rPr>
            </w:pPr>
            <w:r w:rsidRPr="00CB6CDB">
              <w:rPr>
                <w:rFonts w:ascii="Times New Roman" w:hAnsi="Times New Roman" w:cs="Times New Roman"/>
                <w:b/>
                <w:bCs/>
                <w:color w:val="auto"/>
                <w:sz w:val="24"/>
                <w:szCs w:val="24"/>
              </w:rPr>
              <w:t>Overall response</w:t>
            </w:r>
          </w:p>
        </w:tc>
        <w:tc>
          <w:tcPr>
            <w:tcW w:w="4678" w:type="dxa"/>
            <w:gridSpan w:val="2"/>
          </w:tcPr>
          <w:p w14:paraId="6515FCDB" w14:textId="77777777" w:rsidR="00CB6CDB" w:rsidRPr="00CB6CDB" w:rsidRDefault="00CB6CDB" w:rsidP="008724AA">
            <w:pPr>
              <w:spacing w:before="100" w:beforeAutospacing="1" w:after="255" w:afterAutospacing="1" w:line="360" w:lineRule="auto"/>
              <w:jc w:val="both"/>
              <w:rPr>
                <w:rFonts w:ascii="Times New Roman" w:hAnsi="Times New Roman" w:cs="Times New Roman"/>
                <w:b/>
                <w:bCs/>
                <w:color w:val="auto"/>
                <w:sz w:val="24"/>
                <w:szCs w:val="24"/>
              </w:rPr>
            </w:pPr>
          </w:p>
        </w:tc>
        <w:tc>
          <w:tcPr>
            <w:tcW w:w="1933" w:type="dxa"/>
          </w:tcPr>
          <w:p w14:paraId="17925BD1" w14:textId="77777777" w:rsidR="00CB6CDB" w:rsidRPr="00CB6CDB" w:rsidRDefault="00CB6CDB" w:rsidP="008724AA">
            <w:pPr>
              <w:spacing w:before="100" w:beforeAutospacing="1" w:after="255" w:afterAutospacing="1" w:line="360" w:lineRule="auto"/>
              <w:jc w:val="both"/>
              <w:rPr>
                <w:rFonts w:ascii="Times New Roman" w:hAnsi="Times New Roman" w:cs="Times New Roman"/>
                <w:b/>
                <w:bCs/>
                <w:color w:val="auto"/>
                <w:sz w:val="24"/>
                <w:szCs w:val="24"/>
              </w:rPr>
            </w:pPr>
            <w:r w:rsidRPr="00CB6CDB">
              <w:rPr>
                <w:rFonts w:ascii="Times New Roman" w:hAnsi="Times New Roman" w:cs="Times New Roman"/>
                <w:b/>
                <w:bCs/>
                <w:color w:val="auto"/>
                <w:sz w:val="24"/>
                <w:szCs w:val="24"/>
              </w:rPr>
              <w:t>87.1</w:t>
            </w:r>
          </w:p>
        </w:tc>
      </w:tr>
    </w:tbl>
    <w:p w14:paraId="774F60D2" w14:textId="77777777" w:rsidR="00CB6CDB" w:rsidRPr="00CB6CDB" w:rsidRDefault="00CB6CDB" w:rsidP="008724AA">
      <w:pPr>
        <w:shd w:val="clear" w:color="auto" w:fill="FFFFFF"/>
        <w:spacing w:before="100" w:beforeAutospacing="1" w:after="255" w:afterAutospacing="1" w:line="360" w:lineRule="auto"/>
        <w:rPr>
          <w:rFonts w:cs="Times New Roman"/>
          <w:color w:val="auto"/>
          <w:szCs w:val="24"/>
        </w:rPr>
      </w:pPr>
      <w:r w:rsidRPr="00CB6CDB">
        <w:rPr>
          <w:rFonts w:cs="Times New Roman"/>
          <w:color w:val="auto"/>
          <w:szCs w:val="24"/>
        </w:rPr>
        <w:t>According t</w:t>
      </w:r>
      <w:r w:rsidR="00544A0B">
        <w:rPr>
          <w:rFonts w:cs="Times New Roman"/>
          <w:color w:val="auto"/>
          <w:szCs w:val="24"/>
        </w:rPr>
        <w:t xml:space="preserve">o the data presented in Table </w:t>
      </w:r>
      <w:r w:rsidRPr="00CB6CDB">
        <w:rPr>
          <w:rFonts w:cs="Times New Roman"/>
          <w:color w:val="auto"/>
          <w:szCs w:val="24"/>
        </w:rPr>
        <w:t xml:space="preserve">1, the response rate of 81.25% is indicative of a high level of acceptability and credibility for both the quantitative and qualitative conclusions of the study. According to </w:t>
      </w:r>
      <w:r w:rsidR="002C0F99">
        <w:rPr>
          <w:rFonts w:cs="Times New Roman"/>
          <w:color w:val="auto"/>
          <w:szCs w:val="24"/>
        </w:rPr>
        <w:fldChar w:fldCharType="begin" w:fldLock="1"/>
      </w:r>
      <w:r w:rsidR="002C0F99">
        <w:rPr>
          <w:rFonts w:cs="Times New Roman"/>
          <w:color w:val="auto"/>
          <w:szCs w:val="24"/>
        </w:rPr>
        <w:instrText>ADDIN CSL_CITATION {"citationItems":[{"id":"ITEM-1","itemData":{"author":[{"dropping-particle":"","family":"Johnson","given":"D W","non-dropping-particle":"","parse-names":false,"suffix":""},{"dropping-particle":"","family":"Johnson","given":"R T","non-dropping-particle":"","parse-names":false,"suffix":""}],"container-title":"Educational Researcher","id":"ITEM-1","issue":"August","issued":{"date-parts":[["2021"]]},"page":"320-330","title":"The Impact of Cooperative Learning on Academic Achievement","type":"article-journal"},"uris":["http://www.mendeley.com/documents/?uuid=d8ac7b43-f30b-462f-aae0-28de6f2326e6"]}],"mendeley":{"formattedCitation":"(Johnson &amp; Johnson, 2021)","manualFormatting":"Johnson &amp; Johnson (2021)","plainTextFormattedCitation":"(Johnson &amp; Johnson, 2021)","previouslyFormattedCitation":"(Johnson &amp; Johnson, 2021)"},"properties":{"noteIndex":0},"schema":"https://github.com/citation-style-language/schema/raw/master/csl-citation.json"}</w:instrText>
      </w:r>
      <w:r w:rsidR="002C0F99">
        <w:rPr>
          <w:rFonts w:cs="Times New Roman"/>
          <w:color w:val="auto"/>
          <w:szCs w:val="24"/>
        </w:rPr>
        <w:fldChar w:fldCharType="separate"/>
      </w:r>
      <w:r w:rsidR="002C0F99">
        <w:rPr>
          <w:rFonts w:cs="Times New Roman"/>
          <w:noProof/>
          <w:color w:val="auto"/>
          <w:szCs w:val="24"/>
        </w:rPr>
        <w:t>Johnson &amp; Johnson (</w:t>
      </w:r>
      <w:r w:rsidR="002C0F99" w:rsidRPr="002C0F99">
        <w:rPr>
          <w:rFonts w:cs="Times New Roman"/>
          <w:noProof/>
          <w:color w:val="auto"/>
          <w:szCs w:val="24"/>
        </w:rPr>
        <w:t>2021)</w:t>
      </w:r>
      <w:r w:rsidR="002C0F99">
        <w:rPr>
          <w:rFonts w:cs="Times New Roman"/>
          <w:color w:val="auto"/>
          <w:szCs w:val="24"/>
        </w:rPr>
        <w:fldChar w:fldCharType="end"/>
      </w:r>
      <w:r w:rsidRPr="00CB6CDB">
        <w:rPr>
          <w:rFonts w:cs="Times New Roman"/>
          <w:color w:val="auto"/>
          <w:szCs w:val="24"/>
        </w:rPr>
        <w:t xml:space="preserve">, a response rate of above 60% is often considered satisfactory, and the resulting research findings would be deemed reliable. According to </w:t>
      </w:r>
      <w:r w:rsidR="002C0F99">
        <w:rPr>
          <w:rFonts w:cs="Times New Roman"/>
          <w:color w:val="auto"/>
          <w:szCs w:val="24"/>
        </w:rPr>
        <w:fldChar w:fldCharType="begin" w:fldLock="1"/>
      </w:r>
      <w:r w:rsidR="002C0F99">
        <w:rPr>
          <w:rFonts w:cs="Times New Roman"/>
          <w:color w:val="auto"/>
          <w:szCs w:val="24"/>
        </w:rPr>
        <w:instrText>ADDIN CSL_CITATION {"citationItems":[{"id":"ITEM-1","itemData":{"author":[{"dropping-particle":"","family":"Payne","given":"Ameena Leah","non-dropping-particle":"","parse-names":false,"suffix":""}],"container-title":"Case Study Methodology \"Aboriginal","id":"ITEM-1","issue":"December 2020","issued":{"date-parts":[["2021"]]},"title":"Qualitative research methods: Case study methodology website","type":"article-journal"},"uris":["http://www.mendeley.com/documents/?uuid=34743619-eb0e-4457-8809-d04084b831b8"]}],"mendeley":{"formattedCitation":"(Payne, 2021)","manualFormatting":"Payne (2021)","plainTextFormattedCitation":"(Payne, 2021)","previouslyFormattedCitation":"(Payne, 2021)"},"properties":{"noteIndex":0},"schema":"https://github.com/citation-style-language/schema/raw/master/csl-citation.json"}</w:instrText>
      </w:r>
      <w:r w:rsidR="002C0F99">
        <w:rPr>
          <w:rFonts w:cs="Times New Roman"/>
          <w:color w:val="auto"/>
          <w:szCs w:val="24"/>
        </w:rPr>
        <w:fldChar w:fldCharType="separate"/>
      </w:r>
      <w:r w:rsidR="002C0F99">
        <w:rPr>
          <w:rFonts w:cs="Times New Roman"/>
          <w:noProof/>
          <w:color w:val="auto"/>
          <w:szCs w:val="24"/>
        </w:rPr>
        <w:t>Payne (</w:t>
      </w:r>
      <w:r w:rsidR="002C0F99" w:rsidRPr="002C0F99">
        <w:rPr>
          <w:rFonts w:cs="Times New Roman"/>
          <w:noProof/>
          <w:color w:val="auto"/>
          <w:szCs w:val="24"/>
        </w:rPr>
        <w:t>2021)</w:t>
      </w:r>
      <w:r w:rsidR="002C0F99">
        <w:rPr>
          <w:rFonts w:cs="Times New Roman"/>
          <w:color w:val="auto"/>
          <w:szCs w:val="24"/>
        </w:rPr>
        <w:fldChar w:fldCharType="end"/>
      </w:r>
      <w:r w:rsidRPr="00CB6CDB">
        <w:rPr>
          <w:rFonts w:cs="Times New Roman"/>
          <w:color w:val="auto"/>
          <w:szCs w:val="24"/>
        </w:rPr>
        <w:t xml:space="preserve">, a response rate of at least 75% is considered to be a genuine reflection of the study population and is deemed satisfactory for any research. In addition, </w:t>
      </w:r>
      <w:r w:rsidR="002C0F99">
        <w:rPr>
          <w:rFonts w:cs="Times New Roman"/>
          <w:color w:val="auto"/>
          <w:szCs w:val="24"/>
        </w:rPr>
        <w:fldChar w:fldCharType="begin" w:fldLock="1"/>
      </w:r>
      <w:r w:rsidR="00DB2D22">
        <w:rPr>
          <w:rFonts w:cs="Times New Roman"/>
          <w:color w:val="auto"/>
          <w:szCs w:val="24"/>
        </w:rPr>
        <w:instrText>ADDIN CSL_CITATION {"citationItems":[{"id":"ITEM-1","itemData":{"DOI":"10.4324/9780203519196/SURVEYS-SOCIAL-RESEARCH-DAVID-DE-VAUS-DAVID-DE-VAUS","ISBN":"9781134086313","abstract":"David de Vaus’ classic text Surveys in Social Research provides clear advice on how to plan, conduct and analyse social surveys. It emphasises the links between theory and research, the logic and interpretation of statistics and the practices of social research. This sixth edition has been completely revised and updated, and contains new examples, data and extensive lists of web resources. As well as explaining how to conduct good surveys, de Vaus shows how to become a critical consumer of research. He argues that the logic of surveys and statistics is simply an extension of the logic we use in everyday life; analysis, however, requires creativity and imagination rather than the application of sterile mechanical procedures. The prime goal of research should be to gain accurate understanding and, as a researcher, use methods and techniques which enhance understanding. De Vaus advocates researchers use the method, rather than letting the method use you. Surveys in Social Research is essential reading for students and researchers working with surveys. It assumes no background in statistical analysis, and gives you the tools you need to come to grips with this often challenging field of work.","author":[{"dropping-particle":"","family":"Vaus","given":"David","non-dropping-particle":"de","parse-names":false,"suffix":""}],"container-title":"Surveys in Social Research, 6th Edition","id":"ITEM-1","issued":{"date-parts":[["2013","1","1"]]},"page":"1-382","publisher":"Taylor and Francis","title":"SURVEYS IN SOCIAL RESEARCH, 6th Edition","type":"article-journal"},"uris":["http://www.mendeley.com/documents/?uuid=4ad8c90f-05c3-332a-9279-d7c48a83c2cc"]}],"mendeley":{"formattedCitation":"(de Vaus, 2013)","manualFormatting":"de Vaus (2013)","plainTextFormattedCitation":"(de Vaus, 2013)","previouslyFormattedCitation":"(de Vaus, 2013)"},"properties":{"noteIndex":0},"schema":"https://github.com/citation-style-language/schema/raw/master/csl-citation.json"}</w:instrText>
      </w:r>
      <w:r w:rsidR="002C0F99">
        <w:rPr>
          <w:rFonts w:cs="Times New Roman"/>
          <w:color w:val="auto"/>
          <w:szCs w:val="24"/>
        </w:rPr>
        <w:fldChar w:fldCharType="separate"/>
      </w:r>
      <w:r w:rsidR="002C0F99" w:rsidRPr="002C0F99">
        <w:rPr>
          <w:rFonts w:cs="Times New Roman"/>
          <w:noProof/>
          <w:color w:val="auto"/>
          <w:szCs w:val="24"/>
        </w:rPr>
        <w:t xml:space="preserve">de Vaus </w:t>
      </w:r>
      <w:r w:rsidR="002C0F99">
        <w:rPr>
          <w:rFonts w:cs="Times New Roman"/>
          <w:noProof/>
          <w:color w:val="auto"/>
          <w:szCs w:val="24"/>
        </w:rPr>
        <w:t>(</w:t>
      </w:r>
      <w:r w:rsidR="002C0F99" w:rsidRPr="002C0F99">
        <w:rPr>
          <w:rFonts w:cs="Times New Roman"/>
          <w:noProof/>
          <w:color w:val="auto"/>
          <w:szCs w:val="24"/>
        </w:rPr>
        <w:t>2013)</w:t>
      </w:r>
      <w:r w:rsidR="002C0F99">
        <w:rPr>
          <w:rFonts w:cs="Times New Roman"/>
          <w:color w:val="auto"/>
          <w:szCs w:val="24"/>
        </w:rPr>
        <w:fldChar w:fldCharType="end"/>
      </w:r>
      <w:r w:rsidRPr="00CB6CDB">
        <w:rPr>
          <w:rFonts w:cs="Times New Roman"/>
          <w:color w:val="auto"/>
          <w:szCs w:val="24"/>
        </w:rPr>
        <w:t xml:space="preserve"> suggests that if the response rate of a study is less than 50%, the reliability of the findings is reduced to the extent that they may no longer be valuable for providing genuine insights into the investigated topics or influencing policy. Based on these </w:t>
      </w:r>
      <w:r w:rsidRPr="00CB6CDB">
        <w:rPr>
          <w:rFonts w:cs="Times New Roman"/>
          <w:color w:val="auto"/>
          <w:szCs w:val="24"/>
        </w:rPr>
        <w:lastRenderedPageBreak/>
        <w:t>statements, there is a consensus in the literature that a response rate of at least 60% is sufficient for drawing conclusions.</w:t>
      </w:r>
    </w:p>
    <w:p w14:paraId="3B424323" w14:textId="77777777" w:rsidR="00CB6CDB" w:rsidRPr="00CB6CDB" w:rsidRDefault="00CB6CDB" w:rsidP="008724AA">
      <w:pPr>
        <w:spacing w:after="160" w:line="360" w:lineRule="auto"/>
        <w:ind w:firstLine="0"/>
        <w:rPr>
          <w:rFonts w:cs="Times New Roman"/>
          <w:b/>
          <w:color w:val="auto"/>
          <w:szCs w:val="24"/>
          <w:lang w:val="en-US" w:eastAsia="en-US"/>
        </w:rPr>
      </w:pPr>
      <w:r w:rsidRPr="00CB6CDB">
        <w:rPr>
          <w:rFonts w:cs="Times New Roman"/>
          <w:noProof/>
          <w:color w:val="auto"/>
          <w:szCs w:val="24"/>
          <w:lang w:val="en-US" w:eastAsia="en-US"/>
        </w:rPr>
        <w:drawing>
          <wp:inline distT="0" distB="0" distL="0" distR="0" wp14:anchorId="19654826" wp14:editId="5D8D8616">
            <wp:extent cx="3474720" cy="2053244"/>
            <wp:effectExtent l="0" t="0" r="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167073" w14:textId="77777777" w:rsidR="00CB6CDB" w:rsidRPr="00CB6CDB" w:rsidRDefault="00544A0B" w:rsidP="008724AA">
      <w:pPr>
        <w:spacing w:after="160" w:line="360" w:lineRule="auto"/>
        <w:ind w:firstLine="0"/>
        <w:rPr>
          <w:rFonts w:cs="Times New Roman"/>
          <w:b/>
          <w:color w:val="auto"/>
          <w:szCs w:val="24"/>
          <w:lang w:val="en-US" w:eastAsia="en-US"/>
        </w:rPr>
      </w:pPr>
      <w:r>
        <w:rPr>
          <w:rFonts w:cs="Times New Roman"/>
          <w:b/>
          <w:color w:val="auto"/>
          <w:szCs w:val="24"/>
          <w:lang w:val="en-US" w:eastAsia="en-US"/>
        </w:rPr>
        <w:t xml:space="preserve">Fig </w:t>
      </w:r>
      <w:r w:rsidR="00CB6CDB" w:rsidRPr="00CB6CDB">
        <w:rPr>
          <w:rFonts w:cs="Times New Roman"/>
          <w:b/>
          <w:color w:val="auto"/>
          <w:szCs w:val="24"/>
          <w:lang w:val="en-US" w:eastAsia="en-US"/>
        </w:rPr>
        <w:t>1: Gender of respondents</w:t>
      </w:r>
    </w:p>
    <w:p w14:paraId="0FE4EAB6" w14:textId="77777777" w:rsidR="00544A0B"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The Figure above shows that there were 42 (61) male study participants and 19 (39%) female research participants. The proportion of males (61%) to females (39%) indicates that there were a greater number of males in management positions at the ZESA main office. According to </w:t>
      </w:r>
      <w:r w:rsidR="00DB2D22">
        <w:rPr>
          <w:rFonts w:cs="Times New Roman"/>
          <w:color w:val="auto"/>
          <w:szCs w:val="24"/>
        </w:rPr>
        <w:fldChar w:fldCharType="begin" w:fldLock="1"/>
      </w:r>
      <w:r w:rsidR="00DB2D22">
        <w:rPr>
          <w:rFonts w:cs="Times New Roman"/>
          <w:color w:val="auto"/>
          <w:szCs w:val="24"/>
        </w:rPr>
        <w:instrText>ADDIN CSL_CITATION {"citationItems":[{"id":"ITEM-1","itemData":{"DOI":"10.2307/3564152","ISSN":"01937758","PMID":"11654217","author":[{"dropping-particle":"","family":"Landrum","given":"R. Eric","non-dropping-particle":"","parse-names":false,"suffix":""},{"dropping-particle":"","family":"Chastain","given":"Garvin","non-dropping-particle":"","parse-names":false,"suffix":""}],"container-title":"Irb","id":"ITEM-1","issue":"4","issued":{"date-parts":[["1995"]]},"page":"4-6","title":"Experiment spot-checks: a method for assessing the educational value of undergraduate participation in research.","type":"article-journal","volume":"17"},"uris":["http://www.mendeley.com/documents/?uuid=de55bfb2-bce5-435b-a3db-1f1e4d70c332"]}],"mendeley":{"formattedCitation":"(Landrum &amp; Chastain, 1995)","manualFormatting":"Landrum &amp; Chastain (1995)","plainTextFormattedCitation":"(Landrum &amp; Chastain, 1995)","previouslyFormattedCitation":"(Landrum &amp; Chastain, 1995)"},"properties":{"noteIndex":0},"schema":"https://github.com/citation-style-language/schema/raw/master/csl-citation.json"}</w:instrText>
      </w:r>
      <w:r w:rsidR="00DB2D22">
        <w:rPr>
          <w:rFonts w:cs="Times New Roman"/>
          <w:color w:val="auto"/>
          <w:szCs w:val="24"/>
        </w:rPr>
        <w:fldChar w:fldCharType="separate"/>
      </w:r>
      <w:r w:rsidR="00DB2D22" w:rsidRPr="00DB2D22">
        <w:rPr>
          <w:rFonts w:cs="Times New Roman"/>
          <w:noProof/>
          <w:color w:val="auto"/>
          <w:szCs w:val="24"/>
        </w:rPr>
        <w:t>Landrum &amp; Chastain</w:t>
      </w:r>
      <w:r w:rsidR="00DB2D22">
        <w:rPr>
          <w:rFonts w:cs="Times New Roman"/>
          <w:noProof/>
          <w:color w:val="auto"/>
          <w:szCs w:val="24"/>
        </w:rPr>
        <w:t xml:space="preserve"> (</w:t>
      </w:r>
      <w:r w:rsidR="00DB2D22" w:rsidRPr="00DB2D22">
        <w:rPr>
          <w:rFonts w:cs="Times New Roman"/>
          <w:noProof/>
          <w:color w:val="auto"/>
          <w:szCs w:val="24"/>
        </w:rPr>
        <w:t>1995)</w:t>
      </w:r>
      <w:r w:rsidR="00DB2D22">
        <w:rPr>
          <w:rFonts w:cs="Times New Roman"/>
          <w:color w:val="auto"/>
          <w:szCs w:val="24"/>
        </w:rPr>
        <w:fldChar w:fldCharType="end"/>
      </w:r>
      <w:r w:rsidRPr="00CB6CDB">
        <w:rPr>
          <w:rFonts w:cs="Times New Roman"/>
          <w:color w:val="auto"/>
          <w:szCs w:val="24"/>
        </w:rPr>
        <w:t>, there is still a significant gender disparity in many businesses across several sectors. This aligns with the Gender schema hypothesis, which proposes that gender disparities arise from societal expectations and the process of socialization, rather than solely from biological factors (Lynott &amp; McCandless, 2000).</w:t>
      </w:r>
    </w:p>
    <w:p w14:paraId="5C0CF034" w14:textId="77777777" w:rsid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Since the year 2000, men globally, including Zimbabwe, have consistently maintained a larger ratio of employment to population compared to women </w:t>
      </w:r>
      <w:r w:rsidR="00DB2D22">
        <w:rPr>
          <w:rFonts w:cs="Times New Roman"/>
          <w:color w:val="auto"/>
          <w:szCs w:val="24"/>
        </w:rPr>
        <w:fldChar w:fldCharType="begin" w:fldLock="1"/>
      </w:r>
      <w:r w:rsidR="00DB2D22">
        <w:rPr>
          <w:rFonts w:cs="Times New Roman"/>
          <w:color w:val="auto"/>
          <w:szCs w:val="24"/>
        </w:rPr>
        <w:instrText>ADDIN CSL_CITATION {"citationItems":[{"id":"ITEM-1","itemData":{"author":[{"dropping-particle":"","family":"Department","given":"Statista Research","non-dropping-particle":"","parse-names":false,"suffix":""}],"id":"ITEM-1","issue":"January","issued":{"date-parts":[["2022"]]},"title":"The universe o f a c a d e m i c d ata","type":"article-journal"},"uris":["http://www.mendeley.com/documents/?uuid=d310d834-96ff-4fe4-8903-bf5810e696a9"]}],"mendeley":{"formattedCitation":"(Department, 2022)","manualFormatting":"(Statista Research Department, 2022)","plainTextFormattedCitation":"(Department, 2022)","previouslyFormattedCitation":"(Department, 2022)"},"properties":{"noteIndex":0},"schema":"https://github.com/citation-style-language/schema/raw/master/csl-citation.json"}</w:instrText>
      </w:r>
      <w:r w:rsidR="00DB2D22">
        <w:rPr>
          <w:rFonts w:cs="Times New Roman"/>
          <w:color w:val="auto"/>
          <w:szCs w:val="24"/>
        </w:rPr>
        <w:fldChar w:fldCharType="separate"/>
      </w:r>
      <w:r w:rsidR="00DB2D22" w:rsidRPr="00DB2D22">
        <w:rPr>
          <w:rFonts w:cs="Times New Roman"/>
          <w:noProof/>
          <w:color w:val="auto"/>
          <w:szCs w:val="24"/>
        </w:rPr>
        <w:t>(</w:t>
      </w:r>
      <w:r w:rsidR="00DB2D22">
        <w:rPr>
          <w:rFonts w:cs="Times New Roman"/>
          <w:noProof/>
          <w:color w:val="auto"/>
          <w:szCs w:val="24"/>
        </w:rPr>
        <w:t xml:space="preserve">Statista Research </w:t>
      </w:r>
      <w:r w:rsidR="00DB2D22" w:rsidRPr="00DB2D22">
        <w:rPr>
          <w:rFonts w:cs="Times New Roman"/>
          <w:noProof/>
          <w:color w:val="auto"/>
          <w:szCs w:val="24"/>
        </w:rPr>
        <w:t>Department, 2022)</w:t>
      </w:r>
      <w:r w:rsidR="00DB2D22">
        <w:rPr>
          <w:rFonts w:cs="Times New Roman"/>
          <w:color w:val="auto"/>
          <w:szCs w:val="24"/>
        </w:rPr>
        <w:fldChar w:fldCharType="end"/>
      </w:r>
      <w:r w:rsidRPr="00CB6CDB">
        <w:rPr>
          <w:rFonts w:cs="Times New Roman"/>
          <w:color w:val="auto"/>
          <w:szCs w:val="24"/>
        </w:rPr>
        <w:t>. Therefore, this claim could partially elucidate the frequent occurrence of a higher number of men occupying managerial roles in comparison to women. However, it is important to note that this does not imply that women work less than men</w:t>
      </w:r>
      <w:r w:rsidR="00DB2D22">
        <w:rPr>
          <w:rFonts w:cs="Times New Roman"/>
          <w:color w:val="auto"/>
          <w:szCs w:val="24"/>
        </w:rPr>
        <w:t xml:space="preserve"> </w:t>
      </w:r>
      <w:r w:rsidR="00DB2D22">
        <w:rPr>
          <w:rFonts w:cs="Times New Roman"/>
          <w:color w:val="auto"/>
          <w:szCs w:val="24"/>
        </w:rPr>
        <w:fldChar w:fldCharType="begin" w:fldLock="1"/>
      </w:r>
      <w:r w:rsidR="002E1A55">
        <w:rPr>
          <w:rFonts w:cs="Times New Roman"/>
          <w:color w:val="auto"/>
          <w:szCs w:val="24"/>
        </w:rPr>
        <w:instrText>ADDIN CSL_CITATION {"citationItems":[{"id":"ITEM-1","itemData":{"ISBN":"9786027401112","abstract":"Foreword In September 2015, world leaders will meet to adopt a universal and transformative agenda for sustainable development, with a set of sustainable development goals (SDGs) at its core. The scientific community has provided valuable guidance in the formulation of the SDGs, and it will need to remain closely engaged as the world moves towards implementing the new agenda and reviewing our progress. The current report should help ensure that our efforts are underpinned by the latest and best scientific evidence and advice. The GSDR is the only comprehensive, global report on sustainable development. It brings together a broad range of existing scientific assessments and reviews global progress and future sustainable development pathways in an integrated way, taking into account the perspectives of scientific communities across the globe. Extensive inputs have been sought for the 2015 report from the UN system, scientists, government officials and stakeholders . More than 500 independent scientists and experts from many UN entities and affiliated organizations located in all regions of the globe have contributed to the report. A crowdsourcing exercise carried out in the six UN languages invited scientists and researchers around the world to submit science briefs that highlight research findings or solutions relating to sustainable development, for the attention of policy-makers. Some 187 science briefs were submitted and, following a public review, a number have been featured in the report. The report endeavours to present a range of scientific perspectives and to be policy-relevant but not policy-prescriptive. It offers suggestions on how to strengthen scientists' engagement with policy makers at national and international levels, in the latter case notably through the High Level Political Forum (HLPF). The report examines the SDGs as an interlinked system, analyzing how the goals are interrelated through their targets, and how progress towards one goal may depend on and contribute to progress towards others. Such an integrated assessment of the SDGs and the post-2015 agenda will be a standard feature of future GSDRs.","author":[{"dropping-particle":"","family":"Masripatin","given":"Nur","non-dropping-particle":"","parse-names":false,"suffix":""},{"dropping-particle":"","family":"Ginoga","given":"Kirsafianti Linda","non-dropping-particle":"","parse-names":false,"suffix":""},{"dropping-particle":"","family":"Ridha","given":"Dida Migfar","non-dropping-particle":"","parse-names":false,"suffix":""},{"dropping-particle":"","family":"Purbo","given":"Ardina","non-dropping-particle":"","parse-names":false,"suffix":""},{"dropping-particle":"","family":"Wibowo","given":"Arif","non-dropping-particle":"","parse-names":false,"suffix":""},{"dropping-particle":"","family":"Tobing","given":"Lawin Bastian","non-dropping-particle":"","parse-names":false,"suffix":""},{"dropping-particle":"","family":"Widyaningtyas","given":"Novia","non-dropping-particle":"","parse-names":false,"suffix":""},{"dropping-particle":"","family":"Widayati","given":"Tri","non-dropping-particle":"","parse-names":false,"suffix":""},{"dropping-particle":"","family":"Bagiyono","given":"Radian","non-dropping-particle":"","parse-names":false,"suffix":""},{"dropping-particle":"","family":"Anwar","given":"Syaiful","non-dropping-particle":"","parse-names":false,"suffix":""},{"dropping-particle":"","family":"Farid","given":"Muhammad","non-dropping-particle":"","parse-names":false,"suffix":""}],"id":"ITEM-1","issued":{"date-parts":[["2015"]]},"number-of-pages":"1-69","title":"Global Sustainable Development Report","type":"report"},"uris":["http://www.mendeley.com/documents/?uuid=f837e5dd-afeb-4f41-a3d9-898d4300b2cc"]}],"mendeley":{"formattedCitation":"(Masripatin et al., 2015)","plainTextFormattedCitation":"(Masripatin et al., 2015)","previouslyFormattedCitation":"(Masripatin et al., 2015)"},"properties":{"noteIndex":0},"schema":"https://github.com/citation-style-language/schema/raw/master/csl-citation.json"}</w:instrText>
      </w:r>
      <w:r w:rsidR="00DB2D22">
        <w:rPr>
          <w:rFonts w:cs="Times New Roman"/>
          <w:color w:val="auto"/>
          <w:szCs w:val="24"/>
        </w:rPr>
        <w:fldChar w:fldCharType="separate"/>
      </w:r>
      <w:r w:rsidR="00DB2D22" w:rsidRPr="00DB2D22">
        <w:rPr>
          <w:rFonts w:cs="Times New Roman"/>
          <w:noProof/>
          <w:color w:val="auto"/>
          <w:szCs w:val="24"/>
        </w:rPr>
        <w:t>(Masripatin et al., 2015)</w:t>
      </w:r>
      <w:r w:rsidR="00DB2D22">
        <w:rPr>
          <w:rFonts w:cs="Times New Roman"/>
          <w:color w:val="auto"/>
          <w:szCs w:val="24"/>
        </w:rPr>
        <w:fldChar w:fldCharType="end"/>
      </w:r>
      <w:r w:rsidRPr="00CB6CDB">
        <w:rPr>
          <w:rFonts w:cs="Times New Roman"/>
          <w:color w:val="auto"/>
          <w:szCs w:val="24"/>
        </w:rPr>
        <w:t xml:space="preserve">. This explains the reason for the higher number of male volunteers in the study compared to their female colleagues. </w:t>
      </w:r>
    </w:p>
    <w:p w14:paraId="23239CA8" w14:textId="77777777" w:rsidR="008662F0" w:rsidRPr="00CB6CDB" w:rsidRDefault="008662F0" w:rsidP="008724AA">
      <w:pPr>
        <w:shd w:val="clear" w:color="auto" w:fill="FFFFFF"/>
        <w:spacing w:line="360" w:lineRule="auto"/>
        <w:rPr>
          <w:rFonts w:cs="Times New Roman"/>
          <w:color w:val="auto"/>
          <w:szCs w:val="24"/>
        </w:rPr>
      </w:pPr>
    </w:p>
    <w:p w14:paraId="7767DB8C" w14:textId="353B2356" w:rsidR="00CB6CDB" w:rsidRPr="00CB6CDB" w:rsidRDefault="00544A0B" w:rsidP="008724AA">
      <w:pPr>
        <w:spacing w:line="360" w:lineRule="auto"/>
        <w:ind w:firstLine="0"/>
        <w:rPr>
          <w:rFonts w:cs="Times New Roman"/>
          <w:color w:val="auto"/>
          <w:szCs w:val="24"/>
          <w:lang w:val="en-GB" w:eastAsia="en-US"/>
        </w:rPr>
      </w:pPr>
      <w:r>
        <w:rPr>
          <w:rFonts w:cs="Times New Roman"/>
          <w:b/>
          <w:bCs/>
          <w:color w:val="auto"/>
          <w:szCs w:val="24"/>
        </w:rPr>
        <w:t xml:space="preserve">Table </w:t>
      </w:r>
      <w:r w:rsidR="00CB6CDB" w:rsidRPr="00CB6CDB">
        <w:rPr>
          <w:rFonts w:cs="Times New Roman"/>
          <w:b/>
          <w:bCs/>
          <w:color w:val="auto"/>
          <w:szCs w:val="24"/>
        </w:rPr>
        <w:t>2: Respondents</w:t>
      </w:r>
      <w:r w:rsidR="008662F0">
        <w:rPr>
          <w:rFonts w:cs="Times New Roman"/>
          <w:b/>
          <w:bCs/>
          <w:color w:val="auto"/>
          <w:szCs w:val="24"/>
        </w:rPr>
        <w:t>’</w:t>
      </w:r>
      <w:r w:rsidR="00CB6CDB" w:rsidRPr="00CB6CDB">
        <w:rPr>
          <w:rFonts w:cs="Times New Roman"/>
          <w:b/>
          <w:bCs/>
          <w:color w:val="auto"/>
          <w:szCs w:val="24"/>
        </w:rPr>
        <w:t xml:space="preserve"> age</w:t>
      </w:r>
      <w:r w:rsidR="008662F0">
        <w:rPr>
          <w:rFonts w:cs="Times New Roman"/>
          <w:b/>
          <w:bCs/>
          <w:color w:val="auto"/>
          <w:szCs w:val="24"/>
        </w:rPr>
        <w:t xml:space="preserve"> groups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0"/>
        <w:gridCol w:w="2991"/>
        <w:gridCol w:w="1308"/>
        <w:gridCol w:w="1377"/>
        <w:gridCol w:w="1597"/>
        <w:gridCol w:w="1717"/>
      </w:tblGrid>
      <w:tr w:rsidR="00CB6CDB" w:rsidRPr="00CB6CDB" w14:paraId="01F6E3F0" w14:textId="77777777" w:rsidTr="008662F0">
        <w:trPr>
          <w:cantSplit/>
          <w:trHeight w:val="556"/>
        </w:trPr>
        <w:tc>
          <w:tcPr>
            <w:tcW w:w="1671" w:type="pct"/>
            <w:gridSpan w:val="2"/>
            <w:shd w:val="clear" w:color="auto" w:fill="BDD6EE" w:themeFill="accent1" w:themeFillTint="66"/>
          </w:tcPr>
          <w:p w14:paraId="665E6FD6" w14:textId="54FBEBA1" w:rsidR="00CB6CDB" w:rsidRPr="00CB6CDB" w:rsidRDefault="008662F0" w:rsidP="008724AA">
            <w:pPr>
              <w:autoSpaceDE w:val="0"/>
              <w:autoSpaceDN w:val="0"/>
              <w:adjustRightInd w:val="0"/>
              <w:spacing w:line="360" w:lineRule="auto"/>
              <w:rPr>
                <w:rFonts w:cs="Times New Roman"/>
                <w:color w:val="auto"/>
                <w:szCs w:val="24"/>
                <w:lang w:val="en-US"/>
              </w:rPr>
            </w:pPr>
            <w:r>
              <w:rPr>
                <w:rFonts w:cs="Times New Roman"/>
                <w:color w:val="auto"/>
                <w:szCs w:val="24"/>
                <w:lang w:val="en-US"/>
              </w:rPr>
              <w:lastRenderedPageBreak/>
              <w:t xml:space="preserve">Age groups </w:t>
            </w:r>
          </w:p>
        </w:tc>
        <w:tc>
          <w:tcPr>
            <w:tcW w:w="726" w:type="pct"/>
            <w:shd w:val="clear" w:color="auto" w:fill="BDD6EE" w:themeFill="accent1" w:themeFillTint="66"/>
          </w:tcPr>
          <w:p w14:paraId="4FF546D3" w14:textId="77777777" w:rsidR="00CB6CDB" w:rsidRPr="00CB6CDB" w:rsidRDefault="00CB6CDB" w:rsidP="008724AA">
            <w:pPr>
              <w:autoSpaceDE w:val="0"/>
              <w:autoSpaceDN w:val="0"/>
              <w:adjustRightInd w:val="0"/>
              <w:spacing w:line="360" w:lineRule="auto"/>
              <w:ind w:right="60" w:firstLine="0"/>
              <w:rPr>
                <w:rFonts w:cs="Times New Roman"/>
                <w:b/>
                <w:bCs/>
                <w:color w:val="auto"/>
                <w:szCs w:val="24"/>
                <w:lang w:val="en-US"/>
              </w:rPr>
            </w:pPr>
            <w:r w:rsidRPr="00CB6CDB">
              <w:rPr>
                <w:rFonts w:cs="Times New Roman"/>
                <w:b/>
                <w:bCs/>
                <w:color w:val="auto"/>
                <w:szCs w:val="24"/>
                <w:lang w:val="en-US"/>
              </w:rPr>
              <w:t>Frequency</w:t>
            </w:r>
          </w:p>
        </w:tc>
        <w:tc>
          <w:tcPr>
            <w:tcW w:w="764" w:type="pct"/>
            <w:shd w:val="clear" w:color="auto" w:fill="BDD6EE" w:themeFill="accent1" w:themeFillTint="66"/>
          </w:tcPr>
          <w:p w14:paraId="0FAADD94" w14:textId="77777777" w:rsidR="00CB6CDB" w:rsidRPr="00CB6CDB" w:rsidRDefault="00CB6CDB" w:rsidP="008724AA">
            <w:pPr>
              <w:autoSpaceDE w:val="0"/>
              <w:autoSpaceDN w:val="0"/>
              <w:adjustRightInd w:val="0"/>
              <w:spacing w:line="360" w:lineRule="auto"/>
              <w:ind w:right="60" w:firstLine="0"/>
              <w:rPr>
                <w:rFonts w:cs="Times New Roman"/>
                <w:b/>
                <w:bCs/>
                <w:color w:val="auto"/>
                <w:szCs w:val="24"/>
                <w:lang w:val="en-US"/>
              </w:rPr>
            </w:pPr>
            <w:r w:rsidRPr="00CB6CDB">
              <w:rPr>
                <w:rFonts w:cs="Times New Roman"/>
                <w:b/>
                <w:bCs/>
                <w:color w:val="auto"/>
                <w:szCs w:val="24"/>
                <w:lang w:val="en-US"/>
              </w:rPr>
              <w:t>Percent</w:t>
            </w:r>
          </w:p>
        </w:tc>
        <w:tc>
          <w:tcPr>
            <w:tcW w:w="886" w:type="pct"/>
            <w:shd w:val="clear" w:color="auto" w:fill="BDD6EE" w:themeFill="accent1" w:themeFillTint="66"/>
          </w:tcPr>
          <w:p w14:paraId="290330D6" w14:textId="77777777" w:rsidR="00CB6CDB" w:rsidRPr="00CB6CDB" w:rsidRDefault="00CB6CDB" w:rsidP="008724AA">
            <w:pPr>
              <w:autoSpaceDE w:val="0"/>
              <w:autoSpaceDN w:val="0"/>
              <w:adjustRightInd w:val="0"/>
              <w:spacing w:line="360" w:lineRule="auto"/>
              <w:ind w:left="60" w:right="60" w:firstLine="0"/>
              <w:rPr>
                <w:rFonts w:cs="Times New Roman"/>
                <w:b/>
                <w:bCs/>
                <w:color w:val="auto"/>
                <w:szCs w:val="24"/>
                <w:lang w:val="en-US"/>
              </w:rPr>
            </w:pPr>
            <w:r w:rsidRPr="00CB6CDB">
              <w:rPr>
                <w:rFonts w:cs="Times New Roman"/>
                <w:b/>
                <w:bCs/>
                <w:color w:val="auto"/>
                <w:szCs w:val="24"/>
                <w:lang w:val="en-US"/>
              </w:rPr>
              <w:t>Valid Percent</w:t>
            </w:r>
          </w:p>
        </w:tc>
        <w:tc>
          <w:tcPr>
            <w:tcW w:w="953" w:type="pct"/>
            <w:shd w:val="clear" w:color="auto" w:fill="BDD6EE" w:themeFill="accent1" w:themeFillTint="66"/>
          </w:tcPr>
          <w:p w14:paraId="7A7552D0" w14:textId="77777777" w:rsidR="00CB6CDB" w:rsidRPr="00CB6CDB" w:rsidRDefault="00CB6CDB" w:rsidP="008724AA">
            <w:pPr>
              <w:autoSpaceDE w:val="0"/>
              <w:autoSpaceDN w:val="0"/>
              <w:adjustRightInd w:val="0"/>
              <w:spacing w:line="360" w:lineRule="auto"/>
              <w:ind w:right="60" w:firstLine="0"/>
              <w:rPr>
                <w:rFonts w:cs="Times New Roman"/>
                <w:b/>
                <w:bCs/>
                <w:color w:val="auto"/>
                <w:szCs w:val="24"/>
                <w:lang w:val="en-US"/>
              </w:rPr>
            </w:pPr>
            <w:r w:rsidRPr="00CB6CDB">
              <w:rPr>
                <w:rFonts w:cs="Times New Roman"/>
                <w:b/>
                <w:bCs/>
                <w:color w:val="auto"/>
                <w:szCs w:val="24"/>
                <w:lang w:val="en-US"/>
              </w:rPr>
              <w:t>Cumulative      Percent</w:t>
            </w:r>
          </w:p>
        </w:tc>
      </w:tr>
      <w:tr w:rsidR="00CB6CDB" w:rsidRPr="00CB6CDB" w14:paraId="079EA03F" w14:textId="77777777" w:rsidTr="008662F0">
        <w:trPr>
          <w:cantSplit/>
          <w:trHeight w:val="277"/>
        </w:trPr>
        <w:tc>
          <w:tcPr>
            <w:tcW w:w="11" w:type="pct"/>
            <w:vMerge w:val="restart"/>
            <w:shd w:val="clear" w:color="auto" w:fill="FFFFFF"/>
            <w:vAlign w:val="center"/>
          </w:tcPr>
          <w:p w14:paraId="779310BA" w14:textId="0AF7CBE5" w:rsidR="00CB6CDB" w:rsidRPr="00CB6CDB" w:rsidRDefault="00CB6CDB" w:rsidP="008724AA">
            <w:pPr>
              <w:autoSpaceDE w:val="0"/>
              <w:autoSpaceDN w:val="0"/>
              <w:adjustRightInd w:val="0"/>
              <w:spacing w:line="360" w:lineRule="auto"/>
              <w:ind w:right="60" w:firstLine="0"/>
              <w:rPr>
                <w:rFonts w:cs="Times New Roman"/>
                <w:szCs w:val="24"/>
                <w:lang w:val="en-US"/>
              </w:rPr>
            </w:pPr>
          </w:p>
        </w:tc>
        <w:tc>
          <w:tcPr>
            <w:tcW w:w="1660" w:type="pct"/>
            <w:shd w:val="clear" w:color="auto" w:fill="FFFFFF"/>
            <w:vAlign w:val="center"/>
          </w:tcPr>
          <w:p w14:paraId="5FF5A5A8" w14:textId="77777777" w:rsidR="00CB6CDB" w:rsidRPr="00CB6CDB" w:rsidRDefault="00CB6CDB" w:rsidP="008724AA">
            <w:pPr>
              <w:autoSpaceDE w:val="0"/>
              <w:autoSpaceDN w:val="0"/>
              <w:adjustRightInd w:val="0"/>
              <w:spacing w:line="360" w:lineRule="auto"/>
              <w:ind w:left="60" w:right="60" w:firstLine="0"/>
              <w:jc w:val="center"/>
              <w:rPr>
                <w:rFonts w:cs="Times New Roman"/>
                <w:szCs w:val="24"/>
                <w:lang w:val="en-US"/>
              </w:rPr>
            </w:pPr>
            <w:r w:rsidRPr="00CB6CDB">
              <w:rPr>
                <w:rFonts w:cs="Times New Roman"/>
                <w:szCs w:val="24"/>
                <w:lang w:val="en-US"/>
              </w:rPr>
              <w:t>20-30</w:t>
            </w:r>
          </w:p>
        </w:tc>
        <w:tc>
          <w:tcPr>
            <w:tcW w:w="726" w:type="pct"/>
            <w:shd w:val="clear" w:color="auto" w:fill="FFFFFF"/>
          </w:tcPr>
          <w:p w14:paraId="6DE11923"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8</w:t>
            </w:r>
          </w:p>
        </w:tc>
        <w:tc>
          <w:tcPr>
            <w:tcW w:w="764" w:type="pct"/>
            <w:shd w:val="clear" w:color="auto" w:fill="FFFFFF"/>
          </w:tcPr>
          <w:p w14:paraId="6F8E3E43"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13.1</w:t>
            </w:r>
          </w:p>
        </w:tc>
        <w:tc>
          <w:tcPr>
            <w:tcW w:w="886" w:type="pct"/>
            <w:shd w:val="clear" w:color="auto" w:fill="FFFFFF"/>
          </w:tcPr>
          <w:p w14:paraId="3EF77592"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13.1</w:t>
            </w:r>
          </w:p>
        </w:tc>
        <w:tc>
          <w:tcPr>
            <w:tcW w:w="953" w:type="pct"/>
            <w:shd w:val="clear" w:color="auto" w:fill="FFFFFF"/>
          </w:tcPr>
          <w:p w14:paraId="366624CD"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13.1</w:t>
            </w:r>
          </w:p>
        </w:tc>
      </w:tr>
      <w:tr w:rsidR="00CB6CDB" w:rsidRPr="00CB6CDB" w14:paraId="2750CB33" w14:textId="77777777" w:rsidTr="008662F0">
        <w:trPr>
          <w:cantSplit/>
          <w:trHeight w:val="94"/>
        </w:trPr>
        <w:tc>
          <w:tcPr>
            <w:tcW w:w="11" w:type="pct"/>
            <w:vMerge/>
            <w:shd w:val="clear" w:color="auto" w:fill="FFFFFF"/>
            <w:vAlign w:val="center"/>
          </w:tcPr>
          <w:p w14:paraId="6B764735" w14:textId="77777777" w:rsidR="00CB6CDB" w:rsidRPr="00CB6CDB" w:rsidRDefault="00CB6CDB" w:rsidP="008724AA">
            <w:pPr>
              <w:autoSpaceDE w:val="0"/>
              <w:autoSpaceDN w:val="0"/>
              <w:adjustRightInd w:val="0"/>
              <w:spacing w:line="360" w:lineRule="auto"/>
              <w:rPr>
                <w:rFonts w:cs="Times New Roman"/>
                <w:szCs w:val="24"/>
                <w:lang w:val="en-US"/>
              </w:rPr>
            </w:pPr>
          </w:p>
        </w:tc>
        <w:tc>
          <w:tcPr>
            <w:tcW w:w="1660" w:type="pct"/>
            <w:shd w:val="clear" w:color="auto" w:fill="FFFFFF"/>
            <w:vAlign w:val="center"/>
          </w:tcPr>
          <w:p w14:paraId="3396B08B" w14:textId="77777777" w:rsidR="00CB6CDB" w:rsidRPr="00CB6CDB" w:rsidRDefault="00CB6CDB" w:rsidP="008724AA">
            <w:pPr>
              <w:autoSpaceDE w:val="0"/>
              <w:autoSpaceDN w:val="0"/>
              <w:adjustRightInd w:val="0"/>
              <w:spacing w:line="360" w:lineRule="auto"/>
              <w:ind w:left="60" w:right="60" w:firstLine="0"/>
              <w:jc w:val="center"/>
              <w:rPr>
                <w:rFonts w:cs="Times New Roman"/>
                <w:szCs w:val="24"/>
                <w:lang w:val="en-US"/>
              </w:rPr>
            </w:pPr>
            <w:r w:rsidRPr="00CB6CDB">
              <w:rPr>
                <w:rFonts w:cs="Times New Roman"/>
                <w:szCs w:val="24"/>
                <w:lang w:val="en-US"/>
              </w:rPr>
              <w:t>30-40</w:t>
            </w:r>
          </w:p>
        </w:tc>
        <w:tc>
          <w:tcPr>
            <w:tcW w:w="726" w:type="pct"/>
            <w:shd w:val="clear" w:color="auto" w:fill="FFFFFF"/>
          </w:tcPr>
          <w:p w14:paraId="36FF9ABD"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15</w:t>
            </w:r>
          </w:p>
        </w:tc>
        <w:tc>
          <w:tcPr>
            <w:tcW w:w="764" w:type="pct"/>
            <w:shd w:val="clear" w:color="auto" w:fill="FFFFFF"/>
          </w:tcPr>
          <w:p w14:paraId="06E02120"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24.6</w:t>
            </w:r>
          </w:p>
        </w:tc>
        <w:tc>
          <w:tcPr>
            <w:tcW w:w="886" w:type="pct"/>
            <w:shd w:val="clear" w:color="auto" w:fill="FFFFFF"/>
          </w:tcPr>
          <w:p w14:paraId="5F6381A5"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24.6</w:t>
            </w:r>
          </w:p>
        </w:tc>
        <w:tc>
          <w:tcPr>
            <w:tcW w:w="953" w:type="pct"/>
            <w:shd w:val="clear" w:color="auto" w:fill="FFFFFF"/>
          </w:tcPr>
          <w:p w14:paraId="0771798D"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37.7</w:t>
            </w:r>
          </w:p>
        </w:tc>
      </w:tr>
      <w:tr w:rsidR="00CB6CDB" w:rsidRPr="00CB6CDB" w14:paraId="6388788D" w14:textId="77777777" w:rsidTr="008662F0">
        <w:trPr>
          <w:cantSplit/>
          <w:trHeight w:val="94"/>
        </w:trPr>
        <w:tc>
          <w:tcPr>
            <w:tcW w:w="11" w:type="pct"/>
            <w:vMerge/>
            <w:shd w:val="clear" w:color="auto" w:fill="FFFFFF"/>
            <w:vAlign w:val="center"/>
          </w:tcPr>
          <w:p w14:paraId="6190271C" w14:textId="77777777" w:rsidR="00CB6CDB" w:rsidRPr="00CB6CDB" w:rsidRDefault="00CB6CDB" w:rsidP="008724AA">
            <w:pPr>
              <w:autoSpaceDE w:val="0"/>
              <w:autoSpaceDN w:val="0"/>
              <w:adjustRightInd w:val="0"/>
              <w:spacing w:line="360" w:lineRule="auto"/>
              <w:rPr>
                <w:rFonts w:cs="Times New Roman"/>
                <w:szCs w:val="24"/>
                <w:lang w:val="en-US"/>
              </w:rPr>
            </w:pPr>
          </w:p>
        </w:tc>
        <w:tc>
          <w:tcPr>
            <w:tcW w:w="1660" w:type="pct"/>
            <w:shd w:val="clear" w:color="auto" w:fill="FFFFFF"/>
            <w:vAlign w:val="center"/>
          </w:tcPr>
          <w:p w14:paraId="7239573A" w14:textId="77777777" w:rsidR="00CB6CDB" w:rsidRPr="00CB6CDB" w:rsidRDefault="00CB6CDB" w:rsidP="008724AA">
            <w:pPr>
              <w:autoSpaceDE w:val="0"/>
              <w:autoSpaceDN w:val="0"/>
              <w:adjustRightInd w:val="0"/>
              <w:spacing w:line="360" w:lineRule="auto"/>
              <w:ind w:left="60" w:right="60" w:firstLine="0"/>
              <w:jc w:val="center"/>
              <w:rPr>
                <w:rFonts w:cs="Times New Roman"/>
                <w:szCs w:val="24"/>
                <w:lang w:val="en-US"/>
              </w:rPr>
            </w:pPr>
            <w:r w:rsidRPr="00CB6CDB">
              <w:rPr>
                <w:rFonts w:cs="Times New Roman"/>
                <w:szCs w:val="24"/>
                <w:lang w:val="en-US"/>
              </w:rPr>
              <w:t>40-50</w:t>
            </w:r>
          </w:p>
        </w:tc>
        <w:tc>
          <w:tcPr>
            <w:tcW w:w="726" w:type="pct"/>
            <w:shd w:val="clear" w:color="auto" w:fill="FFFFFF"/>
          </w:tcPr>
          <w:p w14:paraId="1CD44827"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21</w:t>
            </w:r>
          </w:p>
        </w:tc>
        <w:tc>
          <w:tcPr>
            <w:tcW w:w="764" w:type="pct"/>
            <w:shd w:val="clear" w:color="auto" w:fill="FFFFFF"/>
          </w:tcPr>
          <w:p w14:paraId="16E0D238"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34.2</w:t>
            </w:r>
          </w:p>
        </w:tc>
        <w:tc>
          <w:tcPr>
            <w:tcW w:w="886" w:type="pct"/>
            <w:shd w:val="clear" w:color="auto" w:fill="FFFFFF"/>
          </w:tcPr>
          <w:p w14:paraId="49ED5DD9"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34.2</w:t>
            </w:r>
          </w:p>
        </w:tc>
        <w:tc>
          <w:tcPr>
            <w:tcW w:w="953" w:type="pct"/>
            <w:shd w:val="clear" w:color="auto" w:fill="FFFFFF"/>
          </w:tcPr>
          <w:p w14:paraId="32362DD1"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71.9</w:t>
            </w:r>
          </w:p>
        </w:tc>
      </w:tr>
      <w:tr w:rsidR="00CB6CDB" w:rsidRPr="00CB6CDB" w14:paraId="11B60CFC" w14:textId="77777777" w:rsidTr="008662F0">
        <w:trPr>
          <w:cantSplit/>
          <w:trHeight w:val="94"/>
        </w:trPr>
        <w:tc>
          <w:tcPr>
            <w:tcW w:w="11" w:type="pct"/>
            <w:vMerge/>
            <w:shd w:val="clear" w:color="auto" w:fill="FFFFFF"/>
            <w:vAlign w:val="center"/>
          </w:tcPr>
          <w:p w14:paraId="058599F5" w14:textId="77777777" w:rsidR="00CB6CDB" w:rsidRPr="00CB6CDB" w:rsidRDefault="00CB6CDB" w:rsidP="008724AA">
            <w:pPr>
              <w:autoSpaceDE w:val="0"/>
              <w:autoSpaceDN w:val="0"/>
              <w:adjustRightInd w:val="0"/>
              <w:spacing w:line="360" w:lineRule="auto"/>
              <w:rPr>
                <w:rFonts w:cs="Times New Roman"/>
                <w:szCs w:val="24"/>
                <w:lang w:val="en-US"/>
              </w:rPr>
            </w:pPr>
          </w:p>
        </w:tc>
        <w:tc>
          <w:tcPr>
            <w:tcW w:w="1660" w:type="pct"/>
            <w:shd w:val="clear" w:color="auto" w:fill="FFFFFF"/>
            <w:vAlign w:val="center"/>
          </w:tcPr>
          <w:p w14:paraId="71701295" w14:textId="77777777" w:rsidR="00CB6CDB" w:rsidRPr="00CB6CDB" w:rsidRDefault="00CB6CDB" w:rsidP="008724AA">
            <w:pPr>
              <w:autoSpaceDE w:val="0"/>
              <w:autoSpaceDN w:val="0"/>
              <w:adjustRightInd w:val="0"/>
              <w:spacing w:line="360" w:lineRule="auto"/>
              <w:ind w:right="60" w:firstLine="0"/>
              <w:jc w:val="center"/>
              <w:rPr>
                <w:rFonts w:cs="Times New Roman"/>
                <w:szCs w:val="24"/>
                <w:lang w:val="en-US"/>
              </w:rPr>
            </w:pPr>
            <w:r w:rsidRPr="00CB6CDB">
              <w:rPr>
                <w:rFonts w:cs="Times New Roman"/>
                <w:szCs w:val="24"/>
                <w:lang w:val="en-US"/>
              </w:rPr>
              <w:t>50+</w:t>
            </w:r>
          </w:p>
        </w:tc>
        <w:tc>
          <w:tcPr>
            <w:tcW w:w="726" w:type="pct"/>
            <w:shd w:val="clear" w:color="auto" w:fill="FFFFFF"/>
          </w:tcPr>
          <w:p w14:paraId="7385E260"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17</w:t>
            </w:r>
          </w:p>
        </w:tc>
        <w:tc>
          <w:tcPr>
            <w:tcW w:w="764" w:type="pct"/>
            <w:shd w:val="clear" w:color="auto" w:fill="FFFFFF"/>
          </w:tcPr>
          <w:p w14:paraId="724A6DA4"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28.1</w:t>
            </w:r>
          </w:p>
        </w:tc>
        <w:tc>
          <w:tcPr>
            <w:tcW w:w="886" w:type="pct"/>
            <w:shd w:val="clear" w:color="auto" w:fill="FFFFFF"/>
          </w:tcPr>
          <w:p w14:paraId="2C5D14A8"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28.1</w:t>
            </w:r>
          </w:p>
        </w:tc>
        <w:tc>
          <w:tcPr>
            <w:tcW w:w="953" w:type="pct"/>
            <w:shd w:val="clear" w:color="auto" w:fill="FFFFFF"/>
          </w:tcPr>
          <w:p w14:paraId="09EE300D" w14:textId="77777777" w:rsidR="00CB6CDB" w:rsidRPr="00CB6CDB" w:rsidRDefault="00CB6CDB" w:rsidP="008724AA">
            <w:pPr>
              <w:autoSpaceDE w:val="0"/>
              <w:autoSpaceDN w:val="0"/>
              <w:adjustRightInd w:val="0"/>
              <w:spacing w:line="360" w:lineRule="auto"/>
              <w:ind w:left="60" w:right="60"/>
              <w:rPr>
                <w:rFonts w:cs="Times New Roman"/>
                <w:szCs w:val="24"/>
                <w:lang w:val="en-US"/>
              </w:rPr>
            </w:pPr>
            <w:r w:rsidRPr="00CB6CDB">
              <w:rPr>
                <w:rFonts w:cs="Times New Roman"/>
                <w:szCs w:val="24"/>
                <w:lang w:val="en-US"/>
              </w:rPr>
              <w:t>100.0</w:t>
            </w:r>
          </w:p>
        </w:tc>
      </w:tr>
      <w:tr w:rsidR="00CB6CDB" w:rsidRPr="00CB6CDB" w14:paraId="32B1A70D" w14:textId="77777777" w:rsidTr="008662F0">
        <w:trPr>
          <w:cantSplit/>
          <w:trHeight w:val="94"/>
        </w:trPr>
        <w:tc>
          <w:tcPr>
            <w:tcW w:w="11" w:type="pct"/>
            <w:vMerge/>
            <w:shd w:val="clear" w:color="auto" w:fill="FFFFFF"/>
            <w:vAlign w:val="center"/>
          </w:tcPr>
          <w:p w14:paraId="101CE41C" w14:textId="77777777" w:rsidR="00CB6CDB" w:rsidRPr="00CB6CDB" w:rsidRDefault="00CB6CDB" w:rsidP="008724AA">
            <w:pPr>
              <w:autoSpaceDE w:val="0"/>
              <w:autoSpaceDN w:val="0"/>
              <w:adjustRightInd w:val="0"/>
              <w:spacing w:line="360" w:lineRule="auto"/>
              <w:rPr>
                <w:rFonts w:cs="Times New Roman"/>
                <w:szCs w:val="24"/>
                <w:lang w:val="en-US"/>
              </w:rPr>
            </w:pPr>
          </w:p>
        </w:tc>
        <w:tc>
          <w:tcPr>
            <w:tcW w:w="1660" w:type="pct"/>
            <w:shd w:val="clear" w:color="auto" w:fill="FFFFFF"/>
            <w:vAlign w:val="center"/>
          </w:tcPr>
          <w:p w14:paraId="3F67C15E" w14:textId="77777777" w:rsidR="00CB6CDB" w:rsidRPr="00CB6CDB" w:rsidRDefault="00CB6CDB" w:rsidP="008724AA">
            <w:pPr>
              <w:autoSpaceDE w:val="0"/>
              <w:autoSpaceDN w:val="0"/>
              <w:adjustRightInd w:val="0"/>
              <w:spacing w:line="360" w:lineRule="auto"/>
              <w:ind w:right="60" w:firstLine="0"/>
              <w:jc w:val="center"/>
              <w:rPr>
                <w:rFonts w:cs="Times New Roman"/>
                <w:b/>
                <w:szCs w:val="24"/>
                <w:lang w:val="en-US"/>
              </w:rPr>
            </w:pPr>
            <w:r w:rsidRPr="00CB6CDB">
              <w:rPr>
                <w:rFonts w:cs="Times New Roman"/>
                <w:b/>
                <w:szCs w:val="24"/>
                <w:lang w:val="en-US"/>
              </w:rPr>
              <w:t>Total</w:t>
            </w:r>
          </w:p>
        </w:tc>
        <w:tc>
          <w:tcPr>
            <w:tcW w:w="726" w:type="pct"/>
            <w:shd w:val="clear" w:color="auto" w:fill="FFFFFF"/>
          </w:tcPr>
          <w:p w14:paraId="0A71F9A9" w14:textId="77777777" w:rsidR="00CB6CDB" w:rsidRPr="00CB6CDB" w:rsidRDefault="00CB6CDB" w:rsidP="008724AA">
            <w:pPr>
              <w:autoSpaceDE w:val="0"/>
              <w:autoSpaceDN w:val="0"/>
              <w:adjustRightInd w:val="0"/>
              <w:spacing w:line="360" w:lineRule="auto"/>
              <w:ind w:left="60" w:right="60"/>
              <w:rPr>
                <w:rFonts w:cs="Times New Roman"/>
                <w:b/>
                <w:szCs w:val="24"/>
                <w:lang w:val="en-US"/>
              </w:rPr>
            </w:pPr>
            <w:r w:rsidRPr="00CB6CDB">
              <w:rPr>
                <w:rFonts w:cs="Times New Roman"/>
                <w:b/>
                <w:szCs w:val="24"/>
                <w:lang w:val="en-US"/>
              </w:rPr>
              <w:t>61</w:t>
            </w:r>
          </w:p>
        </w:tc>
        <w:tc>
          <w:tcPr>
            <w:tcW w:w="764" w:type="pct"/>
            <w:shd w:val="clear" w:color="auto" w:fill="FFFFFF"/>
          </w:tcPr>
          <w:p w14:paraId="518378F3" w14:textId="37F04415" w:rsidR="00CB6CDB" w:rsidRPr="00CB6CDB" w:rsidRDefault="00CB6CDB" w:rsidP="008724AA">
            <w:pPr>
              <w:autoSpaceDE w:val="0"/>
              <w:autoSpaceDN w:val="0"/>
              <w:adjustRightInd w:val="0"/>
              <w:spacing w:line="360" w:lineRule="auto"/>
              <w:ind w:left="60" w:right="60"/>
              <w:rPr>
                <w:rFonts w:cs="Times New Roman"/>
                <w:b/>
                <w:szCs w:val="24"/>
                <w:lang w:val="en-US"/>
              </w:rPr>
            </w:pPr>
            <w:r w:rsidRPr="00CB6CDB">
              <w:rPr>
                <w:rFonts w:cs="Times New Roman"/>
                <w:b/>
                <w:szCs w:val="24"/>
                <w:lang w:val="en-US"/>
              </w:rPr>
              <w:t>100</w:t>
            </w:r>
          </w:p>
        </w:tc>
        <w:tc>
          <w:tcPr>
            <w:tcW w:w="886" w:type="pct"/>
            <w:shd w:val="clear" w:color="auto" w:fill="FFFFFF"/>
          </w:tcPr>
          <w:p w14:paraId="3BC3D0BA" w14:textId="55E49F55" w:rsidR="00CB6CDB" w:rsidRPr="00CB6CDB" w:rsidRDefault="00CB6CDB" w:rsidP="008724AA">
            <w:pPr>
              <w:autoSpaceDE w:val="0"/>
              <w:autoSpaceDN w:val="0"/>
              <w:adjustRightInd w:val="0"/>
              <w:spacing w:line="360" w:lineRule="auto"/>
              <w:ind w:right="60"/>
              <w:rPr>
                <w:rFonts w:cs="Times New Roman"/>
                <w:b/>
                <w:szCs w:val="24"/>
                <w:lang w:val="en-US"/>
              </w:rPr>
            </w:pPr>
            <w:r w:rsidRPr="00CB6CDB">
              <w:rPr>
                <w:rFonts w:cs="Times New Roman"/>
                <w:b/>
                <w:szCs w:val="24"/>
                <w:lang w:val="en-US"/>
              </w:rPr>
              <w:t>100</w:t>
            </w:r>
          </w:p>
        </w:tc>
        <w:tc>
          <w:tcPr>
            <w:tcW w:w="953" w:type="pct"/>
            <w:shd w:val="clear" w:color="auto" w:fill="FFFFFF"/>
          </w:tcPr>
          <w:p w14:paraId="622B503A" w14:textId="193A296D" w:rsidR="00CB6CDB" w:rsidRPr="00CB6CDB" w:rsidRDefault="00CB6CDB" w:rsidP="008724AA">
            <w:pPr>
              <w:autoSpaceDE w:val="0"/>
              <w:autoSpaceDN w:val="0"/>
              <w:adjustRightInd w:val="0"/>
              <w:spacing w:line="360" w:lineRule="auto"/>
              <w:ind w:left="60" w:right="60"/>
              <w:rPr>
                <w:rFonts w:cs="Times New Roman"/>
                <w:b/>
                <w:szCs w:val="24"/>
                <w:lang w:val="en-US"/>
              </w:rPr>
            </w:pPr>
            <w:r w:rsidRPr="00CB6CDB">
              <w:rPr>
                <w:rFonts w:cs="Times New Roman"/>
                <w:b/>
                <w:szCs w:val="24"/>
                <w:lang w:val="en-US"/>
              </w:rPr>
              <w:t>100</w:t>
            </w:r>
          </w:p>
        </w:tc>
      </w:tr>
    </w:tbl>
    <w:p w14:paraId="6462595D" w14:textId="77777777" w:rsidR="00CB6CDB" w:rsidRPr="00CB6CDB" w:rsidRDefault="00CB6CDB" w:rsidP="008724AA">
      <w:pPr>
        <w:shd w:val="clear" w:color="auto" w:fill="FFFFFF"/>
        <w:spacing w:before="100" w:beforeAutospacing="1" w:after="255" w:afterAutospacing="1" w:line="360" w:lineRule="auto"/>
        <w:rPr>
          <w:rFonts w:cs="Times New Roman"/>
          <w:color w:val="auto"/>
          <w:szCs w:val="24"/>
        </w:rPr>
      </w:pPr>
      <w:r w:rsidRPr="00CB6CDB">
        <w:rPr>
          <w:rFonts w:cs="Times New Roman"/>
          <w:color w:val="auto"/>
          <w:szCs w:val="24"/>
        </w:rPr>
        <w:t xml:space="preserve">According to the data presented in Table 2, the largest proportion (34.2%) of the sampled employees fell within the age range of 40 to 50, while 28.1% of the participants were in the age group of 50 and above. This indicates that the participants possessed sufficient maturity to offer valuable perspectives on the study's needs. The age distribution observed in this study closely resembles the findings of </w:t>
      </w:r>
      <w:r w:rsidR="002E1A55">
        <w:rPr>
          <w:rFonts w:cs="Times New Roman"/>
          <w:color w:val="auto"/>
          <w:szCs w:val="24"/>
        </w:rPr>
        <w:fldChar w:fldCharType="begin" w:fldLock="1"/>
      </w:r>
      <w:r w:rsidR="002E1A55">
        <w:rPr>
          <w:rFonts w:cs="Times New Roman"/>
          <w:color w:val="auto"/>
          <w:szCs w:val="24"/>
        </w:rPr>
        <w:instrText>ADDIN CSL_CITATION {"citationItems":[{"id":"ITEM-1","itemData":{"DOI":"10.22495/cocv18i1art10","ISSN":"17279232","abstract":"This paper analyses state-owned enterprises’ (SOEs) corporate governance, addressing whether there are differences between these and private enterprises that make it necessary to formulate a specific corporate governance theory for the former. This will be achieved through a case study based on Carris company, mitigating the lack of empirical knowledge in this field and taking a step forward by clearly proving what it is suggested by the literature: SOEs’ governance particularities actually influence their day-to-day business and financial viability. That helps to highlight the urgency to apply adequate corporate governance techniques to SOEs, more aligned with their characteristics. SOEs have a different legal status, more volatile operating goals, soft budget constraints, lack of public service contracts (and consequent mismatch of the corresponding compensatory allowances due for the public service provided), and different criteria for professional appointment and selection. More importantly, they suffer from multiple principals’ phenomenon: multiple principals, multiple problems. It is, therefore, recommended some changes regarding their corporate governance, such as the incorporation of the comply-or-explain principle; introduction of a code of best practices in the public managers’ appointment process; and contractual arrangements regarding the public service provided, with the multiannual allocation of the corresponding compensatory allowances.","author":[{"dropping-particle":"","family":"Vicente","given":"Joana Andrade","non-dropping-particle":"","parse-names":false,"suffix":""}],"container-title":"Corporate Ownership and Control","id":"ITEM-1","issue":"1","issued":{"date-parts":[["2020"]]},"page":"127-137","title":"State-owned enterprises’ corporate governance: Evidence from a Portuguese company","type":"article-journal","volume":"18"},"uris":["http://www.mendeley.com/documents/?uuid=ac4276e5-63cd-467c-9613-f4a0e851169a"]}],"mendeley":{"formattedCitation":"(Vicente, 2020)","plainTextFormattedCitation":"(Vicente, 2020)","previouslyFormattedCitation":"(Vicente, 2020)"},"properties":{"noteIndex":0},"schema":"https://github.com/citation-style-language/schema/raw/master/csl-citation.json"}</w:instrText>
      </w:r>
      <w:r w:rsidR="002E1A55">
        <w:rPr>
          <w:rFonts w:cs="Times New Roman"/>
          <w:color w:val="auto"/>
          <w:szCs w:val="24"/>
        </w:rPr>
        <w:fldChar w:fldCharType="separate"/>
      </w:r>
      <w:r w:rsidR="002E1A55" w:rsidRPr="002E1A55">
        <w:rPr>
          <w:rFonts w:cs="Times New Roman"/>
          <w:noProof/>
          <w:color w:val="auto"/>
          <w:szCs w:val="24"/>
        </w:rPr>
        <w:t>(Vicente, 2020)</w:t>
      </w:r>
      <w:r w:rsidR="002E1A55">
        <w:rPr>
          <w:rFonts w:cs="Times New Roman"/>
          <w:color w:val="auto"/>
          <w:szCs w:val="24"/>
        </w:rPr>
        <w:fldChar w:fldCharType="end"/>
      </w:r>
      <w:r w:rsidRPr="00CB6CDB">
        <w:rPr>
          <w:rFonts w:cs="Times New Roman"/>
          <w:color w:val="auto"/>
          <w:szCs w:val="24"/>
        </w:rPr>
        <w:t xml:space="preserve"> in State-Owned Enterprises (SOEs), where the majority of employees fell within the age bracket of 40 to 50 years. Moreover, as reported by the </w:t>
      </w:r>
      <w:r w:rsidR="002E1A55">
        <w:rPr>
          <w:rFonts w:cs="Times New Roman"/>
          <w:color w:val="auto"/>
          <w:szCs w:val="24"/>
        </w:rPr>
        <w:fldChar w:fldCharType="begin" w:fldLock="1"/>
      </w:r>
      <w:r w:rsidR="002E1A55">
        <w:rPr>
          <w:rFonts w:cs="Times New Roman"/>
          <w:color w:val="auto"/>
          <w:szCs w:val="24"/>
        </w:rPr>
        <w:instrText>ADDIN CSL_CITATION {"citationItems":[{"id":"ITEM-1","itemData":{"DOI":"10.21475/ajcs.22.16.07","ISSN":"18352693","author":[{"dropping-particle":"","family":"Zimbabwe National Statistics Agency","given":"","non-dropping-particle":"","parse-names":false,"suffix":""}],"container-title":"Zimstat","id":"ITEM-1","issue":"16(07):2022","issued":{"date-parts":[["2022"]]},"title":"July 2022","type":"report"},"uris":["http://www.mendeley.com/documents/?uuid=c91785da-1daa-4ee7-bdac-774903d98dee"]}],"mendeley":{"formattedCitation":"(Zimbabwe National Statistics Agency, 2022)","manualFormatting":"Zimbabwe National Statistics Agency (2022)","plainTextFormattedCitation":"(Zimbabwe National Statistics Agency, 2022)","previouslyFormattedCitation":"(Zimbabwe National Statistics Agency, 2022)"},"properties":{"noteIndex":0},"schema":"https://github.com/citation-style-language/schema/raw/master/csl-citation.json"}</w:instrText>
      </w:r>
      <w:r w:rsidR="002E1A55">
        <w:rPr>
          <w:rFonts w:cs="Times New Roman"/>
          <w:color w:val="auto"/>
          <w:szCs w:val="24"/>
        </w:rPr>
        <w:fldChar w:fldCharType="separate"/>
      </w:r>
      <w:r w:rsidR="002E1A55" w:rsidRPr="002E1A55">
        <w:rPr>
          <w:rFonts w:cs="Times New Roman"/>
          <w:noProof/>
          <w:color w:val="auto"/>
          <w:szCs w:val="24"/>
        </w:rPr>
        <w:t>Zimb</w:t>
      </w:r>
      <w:r w:rsidR="002E1A55">
        <w:rPr>
          <w:rFonts w:cs="Times New Roman"/>
          <w:noProof/>
          <w:color w:val="auto"/>
          <w:szCs w:val="24"/>
        </w:rPr>
        <w:t>abwe National Statistics Agency</w:t>
      </w:r>
      <w:r w:rsidR="002E1A55" w:rsidRPr="002E1A55">
        <w:rPr>
          <w:rFonts w:cs="Times New Roman"/>
          <w:noProof/>
          <w:color w:val="auto"/>
          <w:szCs w:val="24"/>
        </w:rPr>
        <w:t xml:space="preserve"> </w:t>
      </w:r>
      <w:r w:rsidR="002E1A55">
        <w:rPr>
          <w:rFonts w:cs="Times New Roman"/>
          <w:noProof/>
          <w:color w:val="auto"/>
          <w:szCs w:val="24"/>
        </w:rPr>
        <w:t>(</w:t>
      </w:r>
      <w:r w:rsidR="002E1A55" w:rsidRPr="002E1A55">
        <w:rPr>
          <w:rFonts w:cs="Times New Roman"/>
          <w:noProof/>
          <w:color w:val="auto"/>
          <w:szCs w:val="24"/>
        </w:rPr>
        <w:t>2022)</w:t>
      </w:r>
      <w:r w:rsidR="002E1A55">
        <w:rPr>
          <w:rFonts w:cs="Times New Roman"/>
          <w:color w:val="auto"/>
          <w:szCs w:val="24"/>
        </w:rPr>
        <w:fldChar w:fldCharType="end"/>
      </w:r>
      <w:r w:rsidRPr="00CB6CDB">
        <w:rPr>
          <w:rFonts w:cs="Times New Roman"/>
          <w:color w:val="auto"/>
          <w:szCs w:val="24"/>
        </w:rPr>
        <w:t>, the age group considered to be economically active spans from 15 to 50 years, with the largest portion falling within the 40 to 50 age range. This indicates that the age patterns of the study participants align with the age distribution of the national labour force in the country.</w:t>
      </w:r>
    </w:p>
    <w:p w14:paraId="2C0B351B" w14:textId="77777777" w:rsidR="00CB6CDB" w:rsidRPr="00CB6CDB" w:rsidRDefault="00CB6CDB" w:rsidP="008724AA">
      <w:pPr>
        <w:spacing w:line="360" w:lineRule="auto"/>
        <w:ind w:firstLine="0"/>
        <w:rPr>
          <w:rFonts w:eastAsia="Times New Roman" w:cs="Times New Roman"/>
          <w:b/>
          <w:color w:val="auto"/>
          <w:szCs w:val="24"/>
          <w:lang w:val="en-ZA" w:eastAsia="en-ZA"/>
        </w:rPr>
      </w:pPr>
      <w:r w:rsidRPr="00CB6CDB">
        <w:rPr>
          <w:rFonts w:eastAsia="Times New Roman" w:cs="Times New Roman"/>
          <w:b/>
          <w:bCs/>
          <w:color w:val="auto"/>
          <w:szCs w:val="24"/>
          <w:lang w:val="en-ZA" w:eastAsia="en-ZA"/>
        </w:rPr>
        <w:t>Respondents’ employment experience at ZESA</w:t>
      </w:r>
    </w:p>
    <w:p w14:paraId="45010B00" w14:textId="77777777" w:rsidR="00CB6CDB" w:rsidRPr="00CB6CDB" w:rsidRDefault="00544A0B" w:rsidP="008724AA">
      <w:pPr>
        <w:spacing w:after="200" w:line="360" w:lineRule="auto"/>
        <w:rPr>
          <w:rFonts w:eastAsia="SimSun" w:cs="Times New Roman"/>
          <w:color w:val="auto"/>
          <w:szCs w:val="24"/>
        </w:rPr>
      </w:pPr>
      <w:r>
        <w:rPr>
          <w:rFonts w:eastAsia="Times New Roman" w:cs="Times New Roman"/>
          <w:color w:val="auto"/>
          <w:szCs w:val="24"/>
          <w:lang w:val="en-ZA" w:eastAsia="en-ZA"/>
        </w:rPr>
        <w:t xml:space="preserve">Figure </w:t>
      </w:r>
      <w:r w:rsidR="00CB6CDB" w:rsidRPr="00CB6CDB">
        <w:rPr>
          <w:rFonts w:eastAsia="Times New Roman" w:cs="Times New Roman"/>
          <w:color w:val="auto"/>
          <w:szCs w:val="24"/>
          <w:lang w:val="en-ZA" w:eastAsia="en-ZA"/>
        </w:rPr>
        <w:t xml:space="preserve">2 below outlines the respondents’ employment experience in five categories of years.  </w:t>
      </w:r>
    </w:p>
    <w:p w14:paraId="540FCFB2" w14:textId="77777777" w:rsidR="00CB6CDB" w:rsidRPr="00CB6CDB" w:rsidRDefault="00CB6CDB" w:rsidP="008724AA">
      <w:pPr>
        <w:spacing w:line="360" w:lineRule="auto"/>
        <w:ind w:firstLine="0"/>
        <w:rPr>
          <w:rFonts w:eastAsia="Times New Roman" w:cs="Times New Roman"/>
          <w:color w:val="FF0000"/>
          <w:szCs w:val="24"/>
          <w:lang w:val="en-ZA" w:eastAsia="en-ZA"/>
        </w:rPr>
      </w:pPr>
      <w:r w:rsidRPr="00CB6CDB">
        <w:rPr>
          <w:rFonts w:cs="Times New Roman"/>
          <w:noProof/>
          <w:color w:val="FF0000"/>
          <w:szCs w:val="24"/>
          <w:lang w:val="en-US" w:eastAsia="en-US"/>
        </w:rPr>
        <w:lastRenderedPageBreak/>
        <w:drawing>
          <wp:inline distT="0" distB="0" distL="0" distR="0" wp14:anchorId="195DE13F" wp14:editId="4196ECE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9FD18D" w14:textId="77777777" w:rsidR="00CB6CDB" w:rsidRPr="00CB6CDB" w:rsidRDefault="00544A0B" w:rsidP="008724AA">
      <w:pPr>
        <w:spacing w:after="160" w:line="360" w:lineRule="auto"/>
        <w:ind w:firstLine="0"/>
        <w:rPr>
          <w:rFonts w:eastAsia="Times New Roman" w:cs="Times New Roman"/>
          <w:b/>
          <w:color w:val="auto"/>
          <w:szCs w:val="24"/>
          <w:lang w:val="en-ZA" w:eastAsia="en-ZA"/>
        </w:rPr>
      </w:pPr>
      <w:r>
        <w:rPr>
          <w:rFonts w:cs="Times New Roman"/>
          <w:b/>
          <w:color w:val="auto"/>
          <w:szCs w:val="24"/>
          <w:lang w:val="en-ZA" w:eastAsia="en-US"/>
        </w:rPr>
        <w:t xml:space="preserve">Fig </w:t>
      </w:r>
      <w:r w:rsidR="00CB6CDB" w:rsidRPr="00CB6CDB">
        <w:rPr>
          <w:rFonts w:cs="Times New Roman"/>
          <w:b/>
          <w:color w:val="auto"/>
          <w:szCs w:val="24"/>
          <w:lang w:val="en-ZA" w:eastAsia="en-US"/>
        </w:rPr>
        <w:t>2:</w:t>
      </w:r>
      <w:r w:rsidR="00CB6CDB" w:rsidRPr="00CB6CDB">
        <w:rPr>
          <w:rFonts w:cs="Times New Roman"/>
          <w:color w:val="auto"/>
          <w:szCs w:val="24"/>
          <w:lang w:val="en-ZA" w:eastAsia="en-US"/>
        </w:rPr>
        <w:t xml:space="preserve"> </w:t>
      </w:r>
      <w:r w:rsidR="00CB6CDB" w:rsidRPr="00CB6CDB">
        <w:rPr>
          <w:rFonts w:eastAsia="Times New Roman" w:cs="Times New Roman"/>
          <w:b/>
          <w:color w:val="auto"/>
          <w:szCs w:val="24"/>
          <w:lang w:val="en-ZA" w:eastAsia="en-ZA"/>
        </w:rPr>
        <w:t>Length of service at ZESA</w:t>
      </w:r>
    </w:p>
    <w:p w14:paraId="77371205" w14:textId="77777777" w:rsidR="00CB6CDB" w:rsidRPr="00CB6CDB" w:rsidRDefault="00544A0B" w:rsidP="008724AA">
      <w:pPr>
        <w:spacing w:after="200" w:line="360" w:lineRule="auto"/>
        <w:rPr>
          <w:rFonts w:eastAsia="SimSun" w:cs="Times New Roman"/>
          <w:color w:val="auto"/>
          <w:szCs w:val="24"/>
        </w:rPr>
      </w:pPr>
      <w:r>
        <w:rPr>
          <w:rFonts w:eastAsia="Times New Roman" w:cs="Times New Roman"/>
          <w:color w:val="auto"/>
          <w:szCs w:val="24"/>
          <w:lang w:val="en-ZA" w:eastAsia="en-ZA"/>
        </w:rPr>
        <w:t xml:space="preserve">The data in Figure </w:t>
      </w:r>
      <w:r w:rsidR="00CB6CDB" w:rsidRPr="00CB6CDB">
        <w:rPr>
          <w:rFonts w:eastAsia="Times New Roman" w:cs="Times New Roman"/>
          <w:color w:val="auto"/>
          <w:szCs w:val="24"/>
          <w:lang w:val="en-ZA" w:eastAsia="en-ZA"/>
        </w:rPr>
        <w:t xml:space="preserve">2 indicates that the majority of the respondents (24 = 39.3%) had worked at ZESA between 6 to 10 years while 13 (21.3%) had worked for more than 15 years. This reveals that the respondents had adequate experience required in the study </w:t>
      </w:r>
      <w:r w:rsidR="00CB6CDB" w:rsidRPr="00CB6CDB">
        <w:rPr>
          <w:rFonts w:eastAsia="SimSun" w:cs="Times New Roman"/>
          <w:color w:val="auto"/>
          <w:szCs w:val="24"/>
        </w:rPr>
        <w:t>regarding implementation of the corporate governance framework in the Zimbabwe Electricity Supply Authority (ZESA).</w:t>
      </w:r>
    </w:p>
    <w:p w14:paraId="16BB3724" w14:textId="77777777" w:rsidR="00CB6CDB" w:rsidRPr="00CB6CDB" w:rsidRDefault="00CB6CDB" w:rsidP="008724AA">
      <w:pPr>
        <w:keepNext/>
        <w:keepLines/>
        <w:spacing w:before="40" w:line="360" w:lineRule="auto"/>
        <w:ind w:firstLine="0"/>
        <w:outlineLvl w:val="1"/>
        <w:rPr>
          <w:rFonts w:eastAsia="Times New Roman" w:cs="Times New Roman"/>
          <w:b/>
          <w:color w:val="auto"/>
          <w:szCs w:val="24"/>
          <w:lang w:val="en-US" w:eastAsia="en-US"/>
        </w:rPr>
      </w:pPr>
      <w:bookmarkStart w:id="1" w:name="_Toc27478989"/>
      <w:bookmarkStart w:id="2" w:name="_Toc69392426"/>
      <w:bookmarkStart w:id="3" w:name="_Toc161654480"/>
      <w:r w:rsidRPr="00CB6CDB">
        <w:rPr>
          <w:rFonts w:eastAsia="Times New Roman" w:cs="Times New Roman"/>
          <w:b/>
          <w:color w:val="auto"/>
          <w:szCs w:val="24"/>
          <w:lang w:val="en-US" w:eastAsia="en-US"/>
        </w:rPr>
        <w:t>Level of education</w:t>
      </w:r>
      <w:bookmarkEnd w:id="1"/>
      <w:bookmarkEnd w:id="2"/>
      <w:bookmarkEnd w:id="3"/>
    </w:p>
    <w:p w14:paraId="273F1428" w14:textId="77777777" w:rsidR="00CB6CDB" w:rsidRPr="00CB6CDB" w:rsidRDefault="00CB6CDB" w:rsidP="008724AA">
      <w:pPr>
        <w:autoSpaceDE w:val="0"/>
        <w:autoSpaceDN w:val="0"/>
        <w:adjustRightInd w:val="0"/>
        <w:spacing w:line="360" w:lineRule="auto"/>
        <w:rPr>
          <w:rFonts w:cs="Times New Roman"/>
          <w:color w:val="auto"/>
          <w:szCs w:val="24"/>
          <w:lang w:val="en-US" w:eastAsia="en-US"/>
        </w:rPr>
      </w:pPr>
      <w:r w:rsidRPr="00CB6CDB">
        <w:rPr>
          <w:rFonts w:cs="Times New Roman"/>
          <w:bCs/>
          <w:color w:val="auto"/>
          <w:szCs w:val="24"/>
          <w:lang w:eastAsia="en-US"/>
        </w:rPr>
        <w:t xml:space="preserve">It was critical in this study to collect the highest level of education for the respondents. This was used as a proxy indicator of the level of comprehension of the issues addressed in the study. </w:t>
      </w:r>
      <w:r w:rsidRPr="00CB6CDB">
        <w:rPr>
          <w:rFonts w:cs="Times New Roman"/>
          <w:color w:val="auto"/>
          <w:szCs w:val="24"/>
          <w:lang w:val="en-US" w:eastAsia="en-US"/>
        </w:rPr>
        <w:t xml:space="preserve">Thus, the highest level of education of the respondents are </w:t>
      </w:r>
      <w:r w:rsidR="00544A0B">
        <w:rPr>
          <w:rFonts w:cs="Times New Roman"/>
          <w:color w:val="auto"/>
          <w:szCs w:val="24"/>
          <w:lang w:val="en-US" w:eastAsia="en-US"/>
        </w:rPr>
        <w:t xml:space="preserve">presented in Figure </w:t>
      </w:r>
      <w:r w:rsidRPr="00CB6CDB">
        <w:rPr>
          <w:rFonts w:cs="Times New Roman"/>
          <w:color w:val="auto"/>
          <w:szCs w:val="24"/>
          <w:lang w:val="en-US" w:eastAsia="en-US"/>
        </w:rPr>
        <w:t>3 below.</w:t>
      </w:r>
    </w:p>
    <w:p w14:paraId="39F4FF39" w14:textId="77777777" w:rsidR="00CB6CDB" w:rsidRPr="00CB6CDB" w:rsidRDefault="00CB6CDB" w:rsidP="008724AA">
      <w:pPr>
        <w:autoSpaceDE w:val="0"/>
        <w:autoSpaceDN w:val="0"/>
        <w:adjustRightInd w:val="0"/>
        <w:spacing w:line="360" w:lineRule="auto"/>
        <w:ind w:firstLine="0"/>
        <w:rPr>
          <w:rFonts w:cs="Times New Roman"/>
          <w:b/>
          <w:color w:val="auto"/>
          <w:szCs w:val="24"/>
          <w:lang w:val="en-US" w:eastAsia="en-US"/>
        </w:rPr>
      </w:pPr>
    </w:p>
    <w:p w14:paraId="06F00C7F" w14:textId="77777777" w:rsidR="00CB6CDB" w:rsidRPr="00CB6CDB" w:rsidRDefault="00CB6CDB" w:rsidP="008724AA">
      <w:pPr>
        <w:autoSpaceDE w:val="0"/>
        <w:autoSpaceDN w:val="0"/>
        <w:adjustRightInd w:val="0"/>
        <w:spacing w:line="360" w:lineRule="auto"/>
        <w:ind w:firstLine="0"/>
        <w:rPr>
          <w:rFonts w:cs="Times New Roman"/>
          <w:b/>
          <w:color w:val="auto"/>
          <w:szCs w:val="24"/>
          <w:lang w:val="en-US" w:eastAsia="en-US"/>
        </w:rPr>
      </w:pPr>
      <w:r w:rsidRPr="00CB6CDB">
        <w:rPr>
          <w:rFonts w:cs="Times New Roman"/>
          <w:noProof/>
          <w:color w:val="auto"/>
          <w:kern w:val="2"/>
          <w:szCs w:val="24"/>
          <w:lang w:val="en-US" w:eastAsia="en-US"/>
          <w14:ligatures w14:val="standardContextual"/>
        </w:rPr>
        <w:lastRenderedPageBreak/>
        <w:drawing>
          <wp:inline distT="0" distB="0" distL="0" distR="0" wp14:anchorId="560B2A8A" wp14:editId="056BDB0F">
            <wp:extent cx="4511040" cy="2537460"/>
            <wp:effectExtent l="0" t="0" r="3810" b="15240"/>
            <wp:docPr id="3" name="Chart 1">
              <a:extLst xmlns:a="http://schemas.openxmlformats.org/drawingml/2006/main">
                <a:ext uri="{FF2B5EF4-FFF2-40B4-BE49-F238E27FC236}">
                  <a16:creationId xmlns:a16="http://schemas.microsoft.com/office/drawing/2014/main" id="{727EB8A6-59F2-3B8D-1EBA-C7C251608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1C0EFF" w14:textId="77777777" w:rsidR="00CB6CDB" w:rsidRPr="00CB6CDB" w:rsidRDefault="00544A0B" w:rsidP="008724AA">
      <w:pPr>
        <w:autoSpaceDE w:val="0"/>
        <w:autoSpaceDN w:val="0"/>
        <w:adjustRightInd w:val="0"/>
        <w:spacing w:line="360" w:lineRule="auto"/>
        <w:ind w:firstLine="0"/>
        <w:rPr>
          <w:rFonts w:cs="Times New Roman"/>
          <w:b/>
          <w:color w:val="auto"/>
          <w:szCs w:val="24"/>
          <w:lang w:val="en-US" w:eastAsia="en-US"/>
        </w:rPr>
      </w:pPr>
      <w:r>
        <w:rPr>
          <w:rFonts w:cs="Times New Roman"/>
          <w:b/>
          <w:color w:val="auto"/>
          <w:szCs w:val="24"/>
          <w:lang w:val="en-US" w:eastAsia="en-US"/>
        </w:rPr>
        <w:t xml:space="preserve">Fig </w:t>
      </w:r>
      <w:r w:rsidR="00CB6CDB" w:rsidRPr="00CB6CDB">
        <w:rPr>
          <w:rFonts w:cs="Times New Roman"/>
          <w:b/>
          <w:color w:val="auto"/>
          <w:szCs w:val="24"/>
          <w:lang w:val="en-US" w:eastAsia="en-US"/>
        </w:rPr>
        <w:t>3: Respondents’ highest level of education</w:t>
      </w:r>
    </w:p>
    <w:p w14:paraId="49782294" w14:textId="77777777" w:rsidR="00CB6CDB" w:rsidRDefault="00CB6CDB" w:rsidP="008724AA">
      <w:pPr>
        <w:shd w:val="clear" w:color="auto" w:fill="FFFFFF"/>
        <w:spacing w:before="100" w:beforeAutospacing="1" w:line="360" w:lineRule="auto"/>
        <w:rPr>
          <w:rFonts w:cs="Times New Roman"/>
          <w:color w:val="auto"/>
          <w:szCs w:val="24"/>
        </w:rPr>
      </w:pPr>
      <w:r w:rsidRPr="00CB6CDB">
        <w:rPr>
          <w:rFonts w:cs="Times New Roman"/>
          <w:color w:val="auto"/>
          <w:szCs w:val="24"/>
        </w:rPr>
        <w:t>According to the in</w:t>
      </w:r>
      <w:r w:rsidR="00544A0B">
        <w:rPr>
          <w:rFonts w:cs="Times New Roman"/>
          <w:color w:val="auto"/>
          <w:szCs w:val="24"/>
        </w:rPr>
        <w:t xml:space="preserve">formation presented in Figure </w:t>
      </w:r>
      <w:r w:rsidRPr="00CB6CDB">
        <w:rPr>
          <w:rFonts w:cs="Times New Roman"/>
          <w:color w:val="auto"/>
          <w:szCs w:val="24"/>
        </w:rPr>
        <w:t>3, the majority of the participants (44%) had completed their undergraduate degrees, while 23% had obtained master's degrees. Furthermore, it is observed that 21% achieved a diploma and 12% obtained a certificate qualification. Based on these statistics, almost one-third (67% = 44% + 23%) of the participants had achieved either a bachelor's or master's degree. Based on the observed distribution of respondents' highest level of education, it can be inferred that they possessed adequate knowledge and intellectual ability to effectively react to the study's questions and provide the necessary viewpoints.</w:t>
      </w:r>
    </w:p>
    <w:p w14:paraId="00F7314B" w14:textId="77777777" w:rsidR="008662F0" w:rsidRPr="00CB6CDB" w:rsidRDefault="008662F0" w:rsidP="008724AA">
      <w:pPr>
        <w:shd w:val="clear" w:color="auto" w:fill="FFFFFF"/>
        <w:spacing w:before="100" w:beforeAutospacing="1" w:line="360" w:lineRule="auto"/>
        <w:rPr>
          <w:rFonts w:cs="Times New Roman"/>
          <w:color w:val="auto"/>
          <w:szCs w:val="24"/>
        </w:rPr>
      </w:pPr>
    </w:p>
    <w:p w14:paraId="20D36EB8" w14:textId="77777777" w:rsidR="00CB6CDB" w:rsidRPr="00CB6CDB" w:rsidRDefault="00CB6CDB" w:rsidP="008724AA">
      <w:pPr>
        <w:keepNext/>
        <w:keepLines/>
        <w:spacing w:line="360" w:lineRule="auto"/>
        <w:ind w:firstLine="0"/>
        <w:outlineLvl w:val="1"/>
        <w:rPr>
          <w:rFonts w:eastAsia="Times New Roman" w:cs="Times New Roman"/>
          <w:b/>
          <w:color w:val="auto"/>
          <w:szCs w:val="24"/>
          <w:lang w:val="en-US" w:eastAsia="en-US"/>
        </w:rPr>
      </w:pPr>
      <w:bookmarkStart w:id="4" w:name="_Toc27478991"/>
      <w:bookmarkStart w:id="5" w:name="_Toc69392427"/>
      <w:bookmarkStart w:id="6" w:name="_Toc161654481"/>
      <w:r w:rsidRPr="00CB6CDB">
        <w:rPr>
          <w:rFonts w:eastAsia="Times New Roman" w:cs="Times New Roman"/>
          <w:b/>
          <w:color w:val="auto"/>
          <w:szCs w:val="24"/>
          <w:lang w:val="en-US" w:eastAsia="en-US"/>
        </w:rPr>
        <w:t>Reliability test</w:t>
      </w:r>
      <w:bookmarkEnd w:id="4"/>
      <w:bookmarkEnd w:id="5"/>
      <w:bookmarkEnd w:id="6"/>
    </w:p>
    <w:p w14:paraId="6A4B5259" w14:textId="77777777" w:rsidR="00CB6CDB" w:rsidRPr="00CB6CDB" w:rsidRDefault="00CB6CDB" w:rsidP="008724AA">
      <w:pPr>
        <w:spacing w:after="200" w:line="360" w:lineRule="auto"/>
        <w:rPr>
          <w:rFonts w:cs="Times New Roman"/>
          <w:color w:val="auto"/>
          <w:szCs w:val="24"/>
          <w:lang w:val="en-US" w:eastAsia="en-US"/>
        </w:rPr>
      </w:pPr>
      <w:r w:rsidRPr="00CB6CDB">
        <w:rPr>
          <w:rFonts w:eastAsia="Times New Roman" w:cs="Times New Roman"/>
          <w:color w:val="auto"/>
          <w:szCs w:val="24"/>
          <w:lang w:val="en-ZA" w:eastAsia="en-ZA"/>
        </w:rPr>
        <w:t>Reliability tests were carried out first to measure the consistency and reliability of the respective constructs of the questionnaire. Cronbach’s Alpha values were obtained for the questionn</w:t>
      </w:r>
      <w:r w:rsidR="007141CD">
        <w:rPr>
          <w:rFonts w:eastAsia="Times New Roman" w:cs="Times New Roman"/>
          <w:color w:val="auto"/>
          <w:szCs w:val="24"/>
          <w:lang w:val="en-ZA" w:eastAsia="en-ZA"/>
        </w:rPr>
        <w:t xml:space="preserve">aire used in the study. Table </w:t>
      </w:r>
      <w:r w:rsidRPr="00CB6CDB">
        <w:rPr>
          <w:rFonts w:eastAsia="Times New Roman" w:cs="Times New Roman"/>
          <w:color w:val="auto"/>
          <w:szCs w:val="24"/>
          <w:lang w:val="en-ZA" w:eastAsia="en-ZA"/>
        </w:rPr>
        <w:t>3 below shows the Cronbach’s Alpha values for each construct.</w:t>
      </w:r>
    </w:p>
    <w:p w14:paraId="66A30170" w14:textId="77777777" w:rsidR="00CB6CDB" w:rsidRPr="00CB6CDB" w:rsidRDefault="007141CD" w:rsidP="008724AA">
      <w:pPr>
        <w:autoSpaceDE w:val="0"/>
        <w:autoSpaceDN w:val="0"/>
        <w:adjustRightInd w:val="0"/>
        <w:spacing w:line="360" w:lineRule="auto"/>
        <w:ind w:firstLine="0"/>
        <w:rPr>
          <w:rFonts w:cs="Times New Roman"/>
          <w:b/>
          <w:color w:val="auto"/>
          <w:szCs w:val="24"/>
          <w:lang w:val="en-GB"/>
        </w:rPr>
      </w:pPr>
      <w:r>
        <w:rPr>
          <w:rFonts w:cs="Times New Roman"/>
          <w:b/>
          <w:color w:val="auto"/>
          <w:szCs w:val="24"/>
          <w:lang w:val="en-GB"/>
        </w:rPr>
        <w:t xml:space="preserve">Table </w:t>
      </w:r>
      <w:r w:rsidR="00CB6CDB" w:rsidRPr="00CB6CDB">
        <w:rPr>
          <w:rFonts w:cs="Times New Roman"/>
          <w:b/>
          <w:color w:val="auto"/>
          <w:szCs w:val="24"/>
          <w:lang w:val="en-GB"/>
        </w:rPr>
        <w:t>3; Reliability analysis</w:t>
      </w:r>
    </w:p>
    <w:tbl>
      <w:tblPr>
        <w:tblStyle w:val="TableGrid2"/>
        <w:tblW w:w="8188" w:type="dxa"/>
        <w:tblLook w:val="04A0" w:firstRow="1" w:lastRow="0" w:firstColumn="1" w:lastColumn="0" w:noHBand="0" w:noVBand="1"/>
      </w:tblPr>
      <w:tblGrid>
        <w:gridCol w:w="3397"/>
        <w:gridCol w:w="1936"/>
        <w:gridCol w:w="2855"/>
      </w:tblGrid>
      <w:tr w:rsidR="00CB6CDB" w:rsidRPr="00CB6CDB" w14:paraId="7C7BDB69" w14:textId="77777777" w:rsidTr="00DB73C9">
        <w:trPr>
          <w:trHeight w:val="431"/>
        </w:trPr>
        <w:tc>
          <w:tcPr>
            <w:tcW w:w="3397" w:type="dxa"/>
          </w:tcPr>
          <w:p w14:paraId="167B0F1D" w14:textId="77777777" w:rsidR="00CB6CDB" w:rsidRPr="002E15C4" w:rsidRDefault="00CB6CDB" w:rsidP="008724AA">
            <w:pPr>
              <w:spacing w:line="360" w:lineRule="auto"/>
              <w:ind w:left="431"/>
              <w:jc w:val="center"/>
              <w:rPr>
                <w:rFonts w:ascii="Times New Roman" w:hAnsi="Times New Roman" w:cs="Times New Roman"/>
                <w:b/>
                <w:bCs/>
                <w:color w:val="auto"/>
                <w:sz w:val="24"/>
                <w:szCs w:val="24"/>
                <w:lang w:val="en-GB"/>
              </w:rPr>
            </w:pPr>
            <w:r w:rsidRPr="002E15C4">
              <w:rPr>
                <w:rFonts w:ascii="Times New Roman" w:hAnsi="Times New Roman" w:cs="Times New Roman"/>
                <w:b/>
                <w:bCs/>
                <w:color w:val="auto"/>
                <w:sz w:val="24"/>
                <w:szCs w:val="24"/>
                <w:lang w:val="en-GB"/>
              </w:rPr>
              <w:lastRenderedPageBreak/>
              <w:t>Constructs</w:t>
            </w:r>
          </w:p>
        </w:tc>
        <w:tc>
          <w:tcPr>
            <w:tcW w:w="1936" w:type="dxa"/>
          </w:tcPr>
          <w:p w14:paraId="09FF94D2" w14:textId="77777777" w:rsidR="00CB6CDB" w:rsidRPr="002E15C4" w:rsidRDefault="00CB6CDB" w:rsidP="008724AA">
            <w:pPr>
              <w:spacing w:line="360" w:lineRule="auto"/>
              <w:ind w:left="431"/>
              <w:jc w:val="center"/>
              <w:rPr>
                <w:rFonts w:ascii="Times New Roman" w:hAnsi="Times New Roman" w:cs="Times New Roman"/>
                <w:b/>
                <w:bCs/>
                <w:color w:val="auto"/>
                <w:sz w:val="24"/>
                <w:szCs w:val="24"/>
                <w:lang w:val="en-GB"/>
              </w:rPr>
            </w:pPr>
            <w:r w:rsidRPr="002E15C4">
              <w:rPr>
                <w:rFonts w:ascii="Times New Roman" w:hAnsi="Times New Roman" w:cs="Times New Roman"/>
                <w:b/>
                <w:bCs/>
                <w:color w:val="auto"/>
                <w:sz w:val="24"/>
                <w:szCs w:val="24"/>
                <w:lang w:val="en-GB"/>
              </w:rPr>
              <w:t>Number of items</w:t>
            </w:r>
          </w:p>
        </w:tc>
        <w:tc>
          <w:tcPr>
            <w:tcW w:w="2855" w:type="dxa"/>
          </w:tcPr>
          <w:p w14:paraId="2CFCE221" w14:textId="77777777" w:rsidR="00CB6CDB" w:rsidRPr="002E15C4" w:rsidRDefault="00CB6CDB" w:rsidP="008724AA">
            <w:pPr>
              <w:spacing w:line="360" w:lineRule="auto"/>
              <w:ind w:left="431"/>
              <w:jc w:val="center"/>
              <w:rPr>
                <w:rFonts w:ascii="Times New Roman" w:hAnsi="Times New Roman" w:cs="Times New Roman"/>
                <w:b/>
                <w:bCs/>
                <w:color w:val="auto"/>
                <w:sz w:val="24"/>
                <w:szCs w:val="24"/>
                <w:lang w:val="en-GB"/>
              </w:rPr>
            </w:pPr>
            <w:r w:rsidRPr="002E15C4">
              <w:rPr>
                <w:rFonts w:ascii="Times New Roman" w:hAnsi="Times New Roman" w:cs="Times New Roman"/>
                <w:b/>
                <w:bCs/>
                <w:color w:val="auto"/>
                <w:sz w:val="24"/>
                <w:szCs w:val="24"/>
                <w:lang w:val="en-GB"/>
              </w:rPr>
              <w:t>Cronbach’s Alpha value</w:t>
            </w:r>
          </w:p>
        </w:tc>
      </w:tr>
      <w:tr w:rsidR="00CB6CDB" w:rsidRPr="00CB6CDB" w14:paraId="7464B660" w14:textId="77777777" w:rsidTr="00DB73C9">
        <w:trPr>
          <w:trHeight w:val="431"/>
        </w:trPr>
        <w:tc>
          <w:tcPr>
            <w:tcW w:w="3397" w:type="dxa"/>
          </w:tcPr>
          <w:p w14:paraId="369D39AA" w14:textId="77777777" w:rsidR="00CB6CDB" w:rsidRPr="00CB6CDB" w:rsidRDefault="00CB6CDB" w:rsidP="008724AA">
            <w:pPr>
              <w:spacing w:line="360" w:lineRule="auto"/>
              <w:ind w:left="431"/>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Understanding of Corporate Governance Framework</w:t>
            </w:r>
          </w:p>
        </w:tc>
        <w:tc>
          <w:tcPr>
            <w:tcW w:w="1936" w:type="dxa"/>
          </w:tcPr>
          <w:p w14:paraId="48BA0599" w14:textId="77777777" w:rsidR="00CB6CDB" w:rsidRPr="00CB6CDB" w:rsidRDefault="00CB6CDB" w:rsidP="008724AA">
            <w:pPr>
              <w:spacing w:line="360" w:lineRule="auto"/>
              <w:ind w:left="431"/>
              <w:jc w:val="both"/>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5</w:t>
            </w:r>
          </w:p>
        </w:tc>
        <w:tc>
          <w:tcPr>
            <w:tcW w:w="2855" w:type="dxa"/>
          </w:tcPr>
          <w:p w14:paraId="2375AC6E" w14:textId="77777777" w:rsidR="00CB6CDB" w:rsidRPr="00CB6CDB" w:rsidRDefault="00CB6CDB" w:rsidP="008724AA">
            <w:pPr>
              <w:spacing w:line="360" w:lineRule="auto"/>
              <w:ind w:left="431"/>
              <w:jc w:val="both"/>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0.804</w:t>
            </w:r>
          </w:p>
        </w:tc>
      </w:tr>
      <w:tr w:rsidR="00CB6CDB" w:rsidRPr="00CB6CDB" w14:paraId="15392903" w14:textId="77777777" w:rsidTr="00DB73C9">
        <w:trPr>
          <w:trHeight w:val="431"/>
        </w:trPr>
        <w:tc>
          <w:tcPr>
            <w:tcW w:w="3397" w:type="dxa"/>
          </w:tcPr>
          <w:p w14:paraId="56B5667A" w14:textId="77777777" w:rsidR="00CB6CDB" w:rsidRPr="00CB6CDB" w:rsidRDefault="00CB6CDB" w:rsidP="008724AA">
            <w:pPr>
              <w:spacing w:line="360" w:lineRule="auto"/>
              <w:ind w:left="431"/>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Institutional governance practices at ZESA</w:t>
            </w:r>
          </w:p>
        </w:tc>
        <w:tc>
          <w:tcPr>
            <w:tcW w:w="1936" w:type="dxa"/>
          </w:tcPr>
          <w:p w14:paraId="08293BDA" w14:textId="77777777" w:rsidR="00CB6CDB" w:rsidRPr="00CB6CDB" w:rsidRDefault="00CB6CDB" w:rsidP="008724AA">
            <w:pPr>
              <w:spacing w:line="360" w:lineRule="auto"/>
              <w:ind w:left="431"/>
              <w:jc w:val="both"/>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8</w:t>
            </w:r>
          </w:p>
        </w:tc>
        <w:tc>
          <w:tcPr>
            <w:tcW w:w="2855" w:type="dxa"/>
          </w:tcPr>
          <w:p w14:paraId="30E9D265" w14:textId="77777777" w:rsidR="00CB6CDB" w:rsidRPr="00CB6CDB" w:rsidRDefault="00CB6CDB" w:rsidP="008724AA">
            <w:pPr>
              <w:spacing w:line="360" w:lineRule="auto"/>
              <w:ind w:left="431"/>
              <w:jc w:val="both"/>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0.727</w:t>
            </w:r>
          </w:p>
        </w:tc>
      </w:tr>
      <w:tr w:rsidR="00CB6CDB" w:rsidRPr="00CB6CDB" w14:paraId="20EC2459" w14:textId="77777777" w:rsidTr="00DB73C9">
        <w:trPr>
          <w:trHeight w:val="431"/>
        </w:trPr>
        <w:tc>
          <w:tcPr>
            <w:tcW w:w="3397" w:type="dxa"/>
          </w:tcPr>
          <w:p w14:paraId="4CE71408" w14:textId="77777777" w:rsidR="00CB6CDB" w:rsidRPr="00CB6CDB" w:rsidRDefault="00CB6CDB" w:rsidP="008724AA">
            <w:pPr>
              <w:spacing w:line="360" w:lineRule="auto"/>
              <w:ind w:left="431"/>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Aspects that show effectiveness of good corporate governance practice at ZESA</w:t>
            </w:r>
          </w:p>
        </w:tc>
        <w:tc>
          <w:tcPr>
            <w:tcW w:w="1936" w:type="dxa"/>
          </w:tcPr>
          <w:p w14:paraId="57F85CBC" w14:textId="77777777" w:rsidR="00CB6CDB" w:rsidRPr="00CB6CDB" w:rsidRDefault="00CB6CDB" w:rsidP="008724AA">
            <w:pPr>
              <w:spacing w:line="360" w:lineRule="auto"/>
              <w:ind w:left="431"/>
              <w:jc w:val="both"/>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5</w:t>
            </w:r>
          </w:p>
        </w:tc>
        <w:tc>
          <w:tcPr>
            <w:tcW w:w="2855" w:type="dxa"/>
          </w:tcPr>
          <w:p w14:paraId="6E0A6C5D" w14:textId="77777777" w:rsidR="00CB6CDB" w:rsidRPr="00CB6CDB" w:rsidRDefault="00CB6CDB" w:rsidP="008724AA">
            <w:pPr>
              <w:spacing w:line="360" w:lineRule="auto"/>
              <w:ind w:left="431"/>
              <w:jc w:val="both"/>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0.808</w:t>
            </w:r>
          </w:p>
        </w:tc>
      </w:tr>
      <w:tr w:rsidR="00CB6CDB" w:rsidRPr="00CB6CDB" w14:paraId="1C2D83D1" w14:textId="77777777" w:rsidTr="00DB73C9">
        <w:trPr>
          <w:trHeight w:val="431"/>
        </w:trPr>
        <w:tc>
          <w:tcPr>
            <w:tcW w:w="3397" w:type="dxa"/>
          </w:tcPr>
          <w:p w14:paraId="1E3B27DA" w14:textId="77777777" w:rsidR="00CB6CDB" w:rsidRPr="00CB6CDB" w:rsidRDefault="00CB6CDB" w:rsidP="008724AA">
            <w:pPr>
              <w:spacing w:line="360" w:lineRule="auto"/>
              <w:ind w:left="431"/>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Aspects that reveal limited good corporate governance practice at ZESA</w:t>
            </w:r>
          </w:p>
        </w:tc>
        <w:tc>
          <w:tcPr>
            <w:tcW w:w="1936" w:type="dxa"/>
          </w:tcPr>
          <w:p w14:paraId="5E748E8A" w14:textId="77777777" w:rsidR="00CB6CDB" w:rsidRPr="00CB6CDB" w:rsidRDefault="00CB6CDB" w:rsidP="008724AA">
            <w:pPr>
              <w:spacing w:line="360" w:lineRule="auto"/>
              <w:ind w:left="431"/>
              <w:jc w:val="both"/>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4</w:t>
            </w:r>
          </w:p>
        </w:tc>
        <w:tc>
          <w:tcPr>
            <w:tcW w:w="2855" w:type="dxa"/>
          </w:tcPr>
          <w:p w14:paraId="388D34C0" w14:textId="77777777" w:rsidR="00CB6CDB" w:rsidRPr="00CB6CDB" w:rsidRDefault="00CB6CDB" w:rsidP="008724AA">
            <w:pPr>
              <w:spacing w:line="360" w:lineRule="auto"/>
              <w:ind w:left="431"/>
              <w:jc w:val="both"/>
              <w:rPr>
                <w:rFonts w:ascii="Times New Roman" w:hAnsi="Times New Roman" w:cs="Times New Roman"/>
                <w:color w:val="auto"/>
                <w:sz w:val="24"/>
                <w:szCs w:val="24"/>
                <w:lang w:val="en-GB"/>
              </w:rPr>
            </w:pPr>
            <w:r w:rsidRPr="00CB6CDB">
              <w:rPr>
                <w:rFonts w:ascii="Times New Roman" w:hAnsi="Times New Roman" w:cs="Times New Roman"/>
                <w:color w:val="auto"/>
                <w:sz w:val="24"/>
                <w:szCs w:val="24"/>
                <w:lang w:val="en-GB"/>
              </w:rPr>
              <w:t>0.874</w:t>
            </w:r>
          </w:p>
        </w:tc>
      </w:tr>
    </w:tbl>
    <w:p w14:paraId="1926A924" w14:textId="77777777" w:rsidR="00CB6CDB" w:rsidRPr="00CB6CDB" w:rsidRDefault="00CB6CDB" w:rsidP="008724AA">
      <w:pPr>
        <w:autoSpaceDE w:val="0"/>
        <w:autoSpaceDN w:val="0"/>
        <w:adjustRightInd w:val="0"/>
        <w:spacing w:line="360" w:lineRule="auto"/>
        <w:ind w:firstLine="0"/>
        <w:rPr>
          <w:rFonts w:cs="Times New Roman"/>
          <w:b/>
          <w:color w:val="FF0000"/>
          <w:szCs w:val="24"/>
          <w:lang w:val="en-GB"/>
        </w:rPr>
      </w:pPr>
    </w:p>
    <w:p w14:paraId="7B33971A" w14:textId="77777777" w:rsidR="00CB6CDB" w:rsidRPr="00CB6CDB" w:rsidRDefault="007141CD" w:rsidP="008724AA">
      <w:pPr>
        <w:autoSpaceDE w:val="0"/>
        <w:autoSpaceDN w:val="0"/>
        <w:adjustRightInd w:val="0"/>
        <w:spacing w:line="360" w:lineRule="auto"/>
        <w:ind w:firstLine="0"/>
        <w:rPr>
          <w:rFonts w:cs="Times New Roman"/>
          <w:color w:val="auto"/>
          <w:szCs w:val="24"/>
          <w:lang w:val="en-GB" w:eastAsia="en-US"/>
        </w:rPr>
      </w:pPr>
      <w:r>
        <w:rPr>
          <w:rFonts w:cs="Times New Roman"/>
          <w:color w:val="auto"/>
          <w:szCs w:val="24"/>
          <w:lang w:val="en-GB" w:eastAsia="en-US"/>
        </w:rPr>
        <w:t xml:space="preserve">The data in Table </w:t>
      </w:r>
      <w:r w:rsidR="00CB6CDB" w:rsidRPr="00CB6CDB">
        <w:rPr>
          <w:rFonts w:cs="Times New Roman"/>
          <w:color w:val="auto"/>
          <w:szCs w:val="24"/>
          <w:lang w:val="en-GB" w:eastAsia="en-US"/>
        </w:rPr>
        <w:t xml:space="preserve">3 above shows that the measurement scales were reliable since all the Cronbach’s Alpha of the construct are above 0.70. Such findings are in tandem with </w:t>
      </w:r>
      <w:r w:rsidR="002E1A55">
        <w:rPr>
          <w:rFonts w:cs="Times New Roman"/>
          <w:color w:val="auto"/>
          <w:szCs w:val="24"/>
          <w:lang w:val="en-GB" w:eastAsia="en-US"/>
        </w:rPr>
        <w:fldChar w:fldCharType="begin" w:fldLock="1"/>
      </w:r>
      <w:r w:rsidR="002E1A55">
        <w:rPr>
          <w:rFonts w:cs="Times New Roman"/>
          <w:color w:val="auto"/>
          <w:szCs w:val="24"/>
          <w:lang w:val="en-GB" w:eastAsia="en-US"/>
        </w:rPr>
        <w:instrText>ADDIN CSL_CITATION {"citationItems":[{"id":"ITEM-1","itemData":{"DOI":"10.1136/EB-2015-102129","ISSN":"14689618","PMID":"25979629","author":[{"dropping-particle":"","family":"Heale","given":"Roberta","non-dropping-particle":"","parse-names":false,"suffix":""},{"dropping-particle":"","family":"Twycross","given":"Alison","non-dropping-particle":"","parse-names":false,"suffix":""}],"container-title":"Evidence-Based Nursing","id":"ITEM-1","issue":"3","issued":{"date-parts":[["2015"]]},"page":"66-67","publisher":"BMJ Publishing Group","title":"Validity and reliability in quantitative studies","type":"article-journal","volume":"18"},"uris":["http://www.mendeley.com/documents/?uuid=d9ff8078-c286-393f-bf7c-5a3e8e61360e"]}],"mendeley":{"formattedCitation":"(Heale &amp; Twycross, 2015)","manualFormatting":"Heale &amp; Twycross (2015)","plainTextFormattedCitation":"(Heale &amp; Twycross, 2015)","previouslyFormattedCitation":"(Heale &amp; Twycross, 2015)"},"properties":{"noteIndex":0},"schema":"https://github.com/citation-style-language/schema/raw/master/csl-citation.json"}</w:instrText>
      </w:r>
      <w:r w:rsidR="002E1A55">
        <w:rPr>
          <w:rFonts w:cs="Times New Roman"/>
          <w:color w:val="auto"/>
          <w:szCs w:val="24"/>
          <w:lang w:val="en-GB" w:eastAsia="en-US"/>
        </w:rPr>
        <w:fldChar w:fldCharType="separate"/>
      </w:r>
      <w:r w:rsidR="002E1A55">
        <w:rPr>
          <w:rFonts w:cs="Times New Roman"/>
          <w:noProof/>
          <w:color w:val="auto"/>
          <w:szCs w:val="24"/>
          <w:lang w:val="en-GB" w:eastAsia="en-US"/>
        </w:rPr>
        <w:t>Heale &amp; Twycross</w:t>
      </w:r>
      <w:r w:rsidR="002E1A55" w:rsidRPr="002E1A55">
        <w:rPr>
          <w:rFonts w:cs="Times New Roman"/>
          <w:noProof/>
          <w:color w:val="auto"/>
          <w:szCs w:val="24"/>
          <w:lang w:val="en-GB" w:eastAsia="en-US"/>
        </w:rPr>
        <w:t xml:space="preserve"> </w:t>
      </w:r>
      <w:r w:rsidR="002E1A55">
        <w:rPr>
          <w:rFonts w:cs="Times New Roman"/>
          <w:noProof/>
          <w:color w:val="auto"/>
          <w:szCs w:val="24"/>
          <w:lang w:val="en-GB" w:eastAsia="en-US"/>
        </w:rPr>
        <w:t>(</w:t>
      </w:r>
      <w:r w:rsidR="002E1A55" w:rsidRPr="002E1A55">
        <w:rPr>
          <w:rFonts w:cs="Times New Roman"/>
          <w:noProof/>
          <w:color w:val="auto"/>
          <w:szCs w:val="24"/>
          <w:lang w:val="en-GB" w:eastAsia="en-US"/>
        </w:rPr>
        <w:t>2015)</w:t>
      </w:r>
      <w:r w:rsidR="002E1A55">
        <w:rPr>
          <w:rFonts w:cs="Times New Roman"/>
          <w:color w:val="auto"/>
          <w:szCs w:val="24"/>
          <w:lang w:val="en-GB" w:eastAsia="en-US"/>
        </w:rPr>
        <w:fldChar w:fldCharType="end"/>
      </w:r>
      <w:r w:rsidR="00CB6CDB" w:rsidRPr="00CB6CDB">
        <w:rPr>
          <w:rFonts w:cs="Times New Roman"/>
          <w:color w:val="auto"/>
          <w:szCs w:val="24"/>
          <w:lang w:val="en-GB" w:eastAsia="en-US"/>
        </w:rPr>
        <w:t xml:space="preserve"> who claim that for constructs to be reliable, values should be greater than 0.70.</w:t>
      </w:r>
    </w:p>
    <w:p w14:paraId="0538B629" w14:textId="77777777" w:rsidR="00CB6CDB" w:rsidRPr="00CB6CDB" w:rsidRDefault="00CB6CDB" w:rsidP="008724AA">
      <w:pPr>
        <w:autoSpaceDE w:val="0"/>
        <w:autoSpaceDN w:val="0"/>
        <w:adjustRightInd w:val="0"/>
        <w:spacing w:line="360" w:lineRule="auto"/>
        <w:ind w:firstLine="0"/>
        <w:rPr>
          <w:rFonts w:cs="Times New Roman"/>
          <w:color w:val="auto"/>
          <w:szCs w:val="24"/>
          <w:lang w:val="en-GB" w:eastAsia="en-US"/>
        </w:rPr>
      </w:pPr>
    </w:p>
    <w:p w14:paraId="6BB10428" w14:textId="7602E8DB" w:rsidR="00CB6CDB" w:rsidRPr="00CB6CDB" w:rsidRDefault="008662F0" w:rsidP="008724AA">
      <w:pPr>
        <w:pStyle w:val="Heading1"/>
        <w:spacing w:line="360" w:lineRule="auto"/>
        <w:rPr>
          <w:lang w:eastAsia="en-GB"/>
        </w:rPr>
      </w:pPr>
      <w:r>
        <w:rPr>
          <w:lang w:eastAsia="en-GB"/>
        </w:rPr>
        <w:t xml:space="preserve">Discussion </w:t>
      </w:r>
    </w:p>
    <w:p w14:paraId="00F95464" w14:textId="77777777" w:rsidR="007141CD"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The data presentation commences with the utilization of descriptive statistics, which are then corroborated by qualitative findings, in accordance with the mixed methods technique employed in the study. The study presents and discusses descriptive statistics, including arithmetic means (M) and standard deviations (SD), for all four study objectives. The standard deviations quantify the degree of consistency in the replies, specifically the spread of the responses around the mean. It was crucial in this study to utilize standard deviation analysis in conjunction with the mean to obtain more profound understanding of the extent to which the answers varied within each measured variable. The selection of these </w:t>
      </w:r>
      <w:r w:rsidRPr="00CB6CDB">
        <w:rPr>
          <w:rFonts w:cs="Times New Roman"/>
          <w:color w:val="auto"/>
          <w:szCs w:val="24"/>
        </w:rPr>
        <w:lastRenderedPageBreak/>
        <w:t>descriptive statistics was based on the recognition that utilizing both the mean and standard deviation enhances comprehension of the data. Descriptive statistics condenses data to a degree where one may readily infer patterns and significance in accordance with the objective of a study such as this.</w:t>
      </w:r>
    </w:p>
    <w:p w14:paraId="78273C7E"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The study questionnaire utilized a Likert scale style, which consisted of the following response points: 1=Strongly Disagree; 2= Disagree; 3= Neutral; 4= Agree; and 5=Strongly Agree. The interpretations of the descriptive statistics for each category of constructs examined are derived from the scale applied to each item in the questionnaire.</w:t>
      </w:r>
    </w:p>
    <w:p w14:paraId="1448A883" w14:textId="77777777" w:rsidR="00CB6CDB" w:rsidRPr="00CB6CDB" w:rsidRDefault="00CB6CDB" w:rsidP="008724AA">
      <w:pPr>
        <w:pStyle w:val="Heading2"/>
        <w:spacing w:line="360" w:lineRule="auto"/>
      </w:pPr>
      <w:bookmarkStart w:id="7" w:name="_Toc161654483"/>
      <w:bookmarkStart w:id="8" w:name="_Hlk154851138"/>
      <w:r w:rsidRPr="00CB6CDB">
        <w:t>Understanding of corporate governance at ZESA</w:t>
      </w:r>
      <w:bookmarkEnd w:id="7"/>
    </w:p>
    <w:p w14:paraId="42755679" w14:textId="77777777" w:rsidR="00CB6CDB" w:rsidRDefault="00CB6CDB" w:rsidP="008724AA">
      <w:pPr>
        <w:spacing w:after="160" w:line="360" w:lineRule="auto"/>
        <w:rPr>
          <w:rFonts w:cs="Times New Roman"/>
          <w:color w:val="auto"/>
          <w:szCs w:val="24"/>
          <w:lang w:val="en-GB" w:eastAsia="en-US"/>
        </w:rPr>
      </w:pPr>
      <w:bookmarkStart w:id="9" w:name="_Hlk157453778"/>
      <w:bookmarkEnd w:id="8"/>
      <w:r w:rsidRPr="00CB6CDB">
        <w:rPr>
          <w:rFonts w:cs="Times New Roman"/>
          <w:color w:val="auto"/>
          <w:szCs w:val="24"/>
          <w:lang w:val="en-GB" w:eastAsia="en-US"/>
        </w:rPr>
        <w:t>The findings in this section focused on the respondents’ understanding of corporate governanc</w:t>
      </w:r>
      <w:r w:rsidR="007141CD">
        <w:rPr>
          <w:rFonts w:cs="Times New Roman"/>
          <w:color w:val="auto"/>
          <w:szCs w:val="24"/>
          <w:lang w:val="en-GB" w:eastAsia="en-US"/>
        </w:rPr>
        <w:t xml:space="preserve">e as it applied to ZESA. Table </w:t>
      </w:r>
      <w:r w:rsidRPr="00CB6CDB">
        <w:rPr>
          <w:rFonts w:cs="Times New Roman"/>
          <w:color w:val="auto"/>
          <w:szCs w:val="24"/>
          <w:lang w:val="en-GB" w:eastAsia="en-US"/>
        </w:rPr>
        <w:t xml:space="preserve">4 outlines the descriptive statistics of the arithmetic mean and the standard deviation regarding respondents’ responses.  </w:t>
      </w:r>
    </w:p>
    <w:p w14:paraId="4E55E1A4" w14:textId="77777777" w:rsidR="002E15C4" w:rsidRPr="00CB6CDB" w:rsidRDefault="002E15C4" w:rsidP="008724AA">
      <w:pPr>
        <w:spacing w:after="160" w:line="360" w:lineRule="auto"/>
        <w:rPr>
          <w:rFonts w:cs="Times New Roman"/>
          <w:color w:val="auto"/>
          <w:szCs w:val="24"/>
          <w:lang w:val="en-GB" w:eastAsia="en-US"/>
        </w:rPr>
      </w:pPr>
    </w:p>
    <w:p w14:paraId="2A83323B" w14:textId="77777777" w:rsidR="00CB6CDB" w:rsidRPr="00CB6CDB" w:rsidRDefault="007141CD" w:rsidP="008724AA">
      <w:pPr>
        <w:spacing w:line="360" w:lineRule="auto"/>
        <w:ind w:firstLine="0"/>
        <w:rPr>
          <w:rFonts w:cs="Times New Roman"/>
          <w:b/>
          <w:bCs/>
          <w:color w:val="auto"/>
          <w:szCs w:val="24"/>
          <w:lang w:val="en-US" w:eastAsia="en-US"/>
        </w:rPr>
      </w:pPr>
      <w:bookmarkStart w:id="10" w:name="_Toc105761330"/>
      <w:bookmarkStart w:id="11" w:name="_Toc107237658"/>
      <w:r>
        <w:rPr>
          <w:rFonts w:cs="Times New Roman"/>
          <w:b/>
          <w:bCs/>
          <w:color w:val="auto"/>
          <w:szCs w:val="24"/>
          <w:lang w:val="en-US" w:eastAsia="en-US"/>
        </w:rPr>
        <w:t xml:space="preserve">Table </w:t>
      </w:r>
      <w:r w:rsidR="00CB6CDB" w:rsidRPr="00CB6CDB">
        <w:rPr>
          <w:rFonts w:cs="Times New Roman"/>
          <w:b/>
          <w:bCs/>
          <w:color w:val="auto"/>
          <w:szCs w:val="24"/>
          <w:lang w:val="en-US" w:eastAsia="en-US"/>
        </w:rPr>
        <w:t xml:space="preserve">4: </w:t>
      </w:r>
      <w:bookmarkEnd w:id="10"/>
      <w:bookmarkEnd w:id="11"/>
      <w:r w:rsidR="00CB6CDB" w:rsidRPr="00CB6CDB">
        <w:rPr>
          <w:rFonts w:cs="Times New Roman"/>
          <w:b/>
          <w:bCs/>
          <w:color w:val="auto"/>
          <w:szCs w:val="24"/>
          <w:lang w:val="en-US" w:eastAsia="en-US"/>
        </w:rPr>
        <w:t>Participants’ understanding of corporate governance at ZESA</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78"/>
        <w:gridCol w:w="567"/>
        <w:gridCol w:w="567"/>
        <w:gridCol w:w="1133"/>
      </w:tblGrid>
      <w:tr w:rsidR="00CB6CDB" w:rsidRPr="00CB6CDB" w14:paraId="31F4C317" w14:textId="77777777" w:rsidTr="00DB73C9">
        <w:trPr>
          <w:cantSplit/>
          <w:trHeight w:val="271"/>
        </w:trPr>
        <w:tc>
          <w:tcPr>
            <w:tcW w:w="9345"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062AC5D9"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
                <w:bCs/>
                <w:color w:val="auto"/>
                <w:szCs w:val="24"/>
                <w:lang w:val="en-US" w:eastAsia="en-US"/>
              </w:rPr>
              <w:t>Descriptive Statistics</w:t>
            </w:r>
          </w:p>
        </w:tc>
      </w:tr>
      <w:tr w:rsidR="00CB6CDB" w:rsidRPr="00CB6CDB" w14:paraId="129B9438" w14:textId="77777777" w:rsidTr="00DB73C9">
        <w:trPr>
          <w:cantSplit/>
        </w:trPr>
        <w:tc>
          <w:tcPr>
            <w:tcW w:w="7078" w:type="dxa"/>
            <w:hideMark/>
          </w:tcPr>
          <w:p w14:paraId="15ED181C" w14:textId="77777777" w:rsidR="00CB6CDB" w:rsidRPr="00CB6CDB" w:rsidRDefault="00CB6CDB" w:rsidP="008724AA">
            <w:pPr>
              <w:spacing w:line="360" w:lineRule="auto"/>
              <w:ind w:firstLine="0"/>
              <w:rPr>
                <w:rFonts w:cs="Times New Roman"/>
                <w:b/>
                <w:bCs/>
                <w:color w:val="auto"/>
                <w:kern w:val="2"/>
                <w:szCs w:val="24"/>
                <w:lang w:eastAsia="en-US"/>
                <w14:ligatures w14:val="standardContextual"/>
              </w:rPr>
            </w:pPr>
            <w:r w:rsidRPr="00CB6CDB">
              <w:rPr>
                <w:rFonts w:cs="Times New Roman"/>
                <w:b/>
                <w:bCs/>
                <w:color w:val="auto"/>
                <w:kern w:val="2"/>
                <w:szCs w:val="24"/>
                <w:lang w:eastAsia="en-US"/>
                <w14:ligatures w14:val="standardContextual"/>
              </w:rPr>
              <w:t xml:space="preserve">Elements of understanding the Corporate Governance Framework </w:t>
            </w:r>
          </w:p>
          <w:p w14:paraId="43C299FA" w14:textId="77777777" w:rsidR="00CB6CDB" w:rsidRPr="00CB6CDB" w:rsidRDefault="00CB6CDB" w:rsidP="008724AA">
            <w:pPr>
              <w:spacing w:line="360" w:lineRule="auto"/>
              <w:ind w:firstLine="0"/>
              <w:rPr>
                <w:rFonts w:cs="Times New Roman"/>
                <w:color w:val="auto"/>
                <w:kern w:val="2"/>
                <w:szCs w:val="24"/>
                <w:lang w:val="en-US" w:eastAsia="en-US"/>
                <w14:ligatures w14:val="standardContextual"/>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B99E151"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9659D90"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Mean</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A5AA5E8"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Std. Deviation</w:t>
            </w:r>
          </w:p>
        </w:tc>
      </w:tr>
      <w:tr w:rsidR="00CB6CDB" w:rsidRPr="00CB6CDB" w14:paraId="23FF481B" w14:textId="77777777" w:rsidTr="00DB73C9">
        <w:trPr>
          <w:cantSplit/>
        </w:trPr>
        <w:tc>
          <w:tcPr>
            <w:tcW w:w="7078" w:type="dxa"/>
            <w:hideMark/>
          </w:tcPr>
          <w:p w14:paraId="7591E123" w14:textId="77777777" w:rsidR="00CB6CDB" w:rsidRPr="00CB6CDB" w:rsidRDefault="00CB6CDB" w:rsidP="008724AA">
            <w:pPr>
              <w:spacing w:line="360" w:lineRule="auto"/>
              <w:ind w:firstLine="0"/>
              <w:rPr>
                <w:rFonts w:cs="Times New Roman"/>
                <w:bCs/>
                <w:color w:val="auto"/>
                <w:szCs w:val="24"/>
                <w:lang w:val="en-US" w:eastAsia="en-US"/>
              </w:rPr>
            </w:pPr>
            <w:bookmarkStart w:id="12" w:name="_Hlk154836511"/>
            <w:r w:rsidRPr="00CB6CDB">
              <w:rPr>
                <w:rFonts w:cs="Times New Roman"/>
                <w:color w:val="auto"/>
                <w:kern w:val="2"/>
                <w:szCs w:val="24"/>
                <w:lang w:eastAsia="en-US"/>
                <w14:ligatures w14:val="standardContextual"/>
              </w:rPr>
              <w:t xml:space="preserve">CGF promotes honesty and accountability in management </w:t>
            </w:r>
            <w:bookmarkEnd w:id="12"/>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7876EFC7"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53</w:t>
            </w:r>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05D98D13"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4.52</w:t>
            </w:r>
          </w:p>
        </w:tc>
        <w:tc>
          <w:tcPr>
            <w:tcW w:w="1133" w:type="dxa"/>
            <w:tcBorders>
              <w:top w:val="single" w:sz="4" w:space="0" w:color="auto"/>
              <w:left w:val="single" w:sz="4" w:space="0" w:color="auto"/>
              <w:bottom w:val="single" w:sz="4" w:space="0" w:color="auto"/>
              <w:right w:val="single" w:sz="4" w:space="0" w:color="auto"/>
            </w:tcBorders>
            <w:shd w:val="clear" w:color="auto" w:fill="FFFFFF"/>
            <w:hideMark/>
          </w:tcPr>
          <w:p w14:paraId="0605B50C"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.930</w:t>
            </w:r>
          </w:p>
        </w:tc>
      </w:tr>
      <w:tr w:rsidR="00CB6CDB" w:rsidRPr="00CB6CDB" w14:paraId="7A7B7D0B" w14:textId="77777777" w:rsidTr="00DB73C9">
        <w:trPr>
          <w:cantSplit/>
        </w:trPr>
        <w:tc>
          <w:tcPr>
            <w:tcW w:w="7078" w:type="dxa"/>
            <w:hideMark/>
          </w:tcPr>
          <w:p w14:paraId="137DF6DF"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color w:val="auto"/>
                <w:kern w:val="2"/>
                <w:szCs w:val="24"/>
                <w:lang w:eastAsia="en-US"/>
                <w14:ligatures w14:val="standardContextual"/>
              </w:rPr>
              <w:t xml:space="preserve">CGF helps the organisation’s value of transparency by improving client confidence </w:t>
            </w:r>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6274924A"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53</w:t>
            </w:r>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2D1D1373"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3.92</w:t>
            </w:r>
          </w:p>
        </w:tc>
        <w:tc>
          <w:tcPr>
            <w:tcW w:w="1133" w:type="dxa"/>
            <w:tcBorders>
              <w:top w:val="single" w:sz="4" w:space="0" w:color="auto"/>
              <w:left w:val="single" w:sz="4" w:space="0" w:color="auto"/>
              <w:bottom w:val="single" w:sz="4" w:space="0" w:color="auto"/>
              <w:right w:val="single" w:sz="4" w:space="0" w:color="auto"/>
            </w:tcBorders>
            <w:shd w:val="clear" w:color="auto" w:fill="FFFFFF"/>
            <w:hideMark/>
          </w:tcPr>
          <w:p w14:paraId="4F7FF233"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.715</w:t>
            </w:r>
          </w:p>
        </w:tc>
      </w:tr>
      <w:tr w:rsidR="00CB6CDB" w:rsidRPr="00CB6CDB" w14:paraId="3343C881" w14:textId="77777777" w:rsidTr="00DB73C9">
        <w:trPr>
          <w:cantSplit/>
        </w:trPr>
        <w:tc>
          <w:tcPr>
            <w:tcW w:w="7078" w:type="dxa"/>
          </w:tcPr>
          <w:p w14:paraId="6E790C20" w14:textId="77777777" w:rsidR="00CB6CDB" w:rsidRPr="00CB6CDB" w:rsidRDefault="00CB6CDB" w:rsidP="008724AA">
            <w:pPr>
              <w:spacing w:line="360" w:lineRule="auto"/>
              <w:ind w:firstLine="0"/>
              <w:rPr>
                <w:rFonts w:cs="Times New Roman"/>
                <w:color w:val="auto"/>
                <w:kern w:val="2"/>
                <w:szCs w:val="24"/>
                <w:lang w:eastAsia="en-US"/>
                <w14:ligatures w14:val="standardContextual"/>
              </w:rPr>
            </w:pPr>
            <w:r w:rsidRPr="00CB6CDB">
              <w:rPr>
                <w:rFonts w:cs="Times New Roman"/>
                <w:color w:val="auto"/>
                <w:kern w:val="2"/>
                <w:szCs w:val="24"/>
                <w:lang w:eastAsia="en-US"/>
                <w14:ligatures w14:val="standardContextual"/>
              </w:rPr>
              <w:t xml:space="preserve">CGF facilitates the efficient and effective management of the organisation </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34D30EA7"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53</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1FE5ED38"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3.79</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52CA3AEF"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1.304</w:t>
            </w:r>
          </w:p>
        </w:tc>
      </w:tr>
      <w:tr w:rsidR="00CB6CDB" w:rsidRPr="00CB6CDB" w14:paraId="2647C19B" w14:textId="77777777" w:rsidTr="00DB73C9">
        <w:trPr>
          <w:cantSplit/>
        </w:trPr>
        <w:tc>
          <w:tcPr>
            <w:tcW w:w="7078" w:type="dxa"/>
            <w:hideMark/>
          </w:tcPr>
          <w:p w14:paraId="4A6FC2FF" w14:textId="77777777" w:rsidR="00CB6CDB" w:rsidRPr="00CB6CDB" w:rsidRDefault="00CB6CDB" w:rsidP="008724AA">
            <w:pPr>
              <w:spacing w:line="360" w:lineRule="auto"/>
              <w:ind w:firstLine="0"/>
              <w:rPr>
                <w:rFonts w:cs="Times New Roman"/>
                <w:bCs/>
                <w:color w:val="auto"/>
                <w:szCs w:val="24"/>
                <w:lang w:val="en-US" w:eastAsia="en-US"/>
              </w:rPr>
            </w:pPr>
            <w:bookmarkStart w:id="13" w:name="_Hlk157069513"/>
            <w:r w:rsidRPr="00CB6CDB">
              <w:rPr>
                <w:rFonts w:cs="Times New Roman"/>
                <w:color w:val="auto"/>
                <w:kern w:val="2"/>
                <w:szCs w:val="24"/>
                <w:lang w:eastAsia="en-US"/>
                <w14:ligatures w14:val="standardContextual"/>
              </w:rPr>
              <w:t xml:space="preserve">CGF promotes organisations to comply with the laws and the societal moral expectations </w:t>
            </w:r>
            <w:bookmarkEnd w:id="13"/>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3C988B13"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53</w:t>
            </w:r>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431C3AF5"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3.64</w:t>
            </w:r>
          </w:p>
        </w:tc>
        <w:tc>
          <w:tcPr>
            <w:tcW w:w="1133" w:type="dxa"/>
            <w:tcBorders>
              <w:top w:val="single" w:sz="4" w:space="0" w:color="auto"/>
              <w:left w:val="single" w:sz="4" w:space="0" w:color="auto"/>
              <w:bottom w:val="single" w:sz="4" w:space="0" w:color="auto"/>
              <w:right w:val="single" w:sz="4" w:space="0" w:color="auto"/>
            </w:tcBorders>
            <w:shd w:val="clear" w:color="auto" w:fill="FFFFFF"/>
            <w:hideMark/>
          </w:tcPr>
          <w:p w14:paraId="2D0EA7CA"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.732</w:t>
            </w:r>
          </w:p>
        </w:tc>
      </w:tr>
      <w:tr w:rsidR="00CB6CDB" w:rsidRPr="00CB6CDB" w14:paraId="6C21F988" w14:textId="77777777" w:rsidTr="00DB73C9">
        <w:trPr>
          <w:cantSplit/>
        </w:trPr>
        <w:tc>
          <w:tcPr>
            <w:tcW w:w="7078" w:type="dxa"/>
          </w:tcPr>
          <w:p w14:paraId="29DB2D41" w14:textId="77777777" w:rsidR="00CB6CDB" w:rsidRPr="00CB6CDB" w:rsidRDefault="00CB6CDB" w:rsidP="008724AA">
            <w:pPr>
              <w:spacing w:line="360" w:lineRule="auto"/>
              <w:ind w:firstLine="0"/>
              <w:rPr>
                <w:rFonts w:cs="Times New Roman"/>
                <w:color w:val="auto"/>
                <w:kern w:val="2"/>
                <w:szCs w:val="24"/>
                <w:lang w:eastAsia="en-US"/>
                <w14:ligatures w14:val="standardContextual"/>
              </w:rPr>
            </w:pPr>
            <w:r w:rsidRPr="00CB6CDB">
              <w:rPr>
                <w:rFonts w:cs="Times New Roman"/>
                <w:color w:val="auto"/>
                <w:kern w:val="2"/>
                <w:szCs w:val="24"/>
                <w:lang w:eastAsia="en-US"/>
                <w14:ligatures w14:val="standardContextual"/>
              </w:rPr>
              <w:t xml:space="preserve">CGF reduces the opportunities for complacency and fraud </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863D733"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53</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0943AF66"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2.17</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04AC96CD"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.807</w:t>
            </w:r>
          </w:p>
        </w:tc>
      </w:tr>
      <w:tr w:rsidR="00CB6CDB" w:rsidRPr="00CB6CDB" w14:paraId="4C43C37D" w14:textId="77777777" w:rsidTr="00DB73C9">
        <w:trPr>
          <w:cantSplit/>
        </w:trPr>
        <w:tc>
          <w:tcPr>
            <w:tcW w:w="7645" w:type="dxa"/>
            <w:gridSpan w:val="2"/>
            <w:tcBorders>
              <w:top w:val="single" w:sz="4" w:space="0" w:color="auto"/>
              <w:left w:val="single" w:sz="4" w:space="0" w:color="auto"/>
              <w:bottom w:val="single" w:sz="4" w:space="0" w:color="auto"/>
              <w:right w:val="single" w:sz="4" w:space="0" w:color="auto"/>
            </w:tcBorders>
            <w:hideMark/>
          </w:tcPr>
          <w:p w14:paraId="6E6EC60C" w14:textId="77777777" w:rsidR="00CB6CDB" w:rsidRPr="00CB6CDB" w:rsidRDefault="00CB6CDB" w:rsidP="008724AA">
            <w:pPr>
              <w:spacing w:line="360" w:lineRule="auto"/>
              <w:ind w:firstLine="0"/>
              <w:rPr>
                <w:rFonts w:cs="Times New Roman"/>
                <w:b/>
                <w:bCs/>
                <w:color w:val="auto"/>
                <w:szCs w:val="24"/>
                <w:lang w:val="en-US" w:eastAsia="en-US"/>
              </w:rPr>
            </w:pPr>
            <w:r w:rsidRPr="00CB6CDB">
              <w:rPr>
                <w:rFonts w:cs="Times New Roman"/>
                <w:b/>
                <w:bCs/>
                <w:color w:val="auto"/>
                <w:szCs w:val="24"/>
                <w:lang w:val="en-US" w:eastAsia="en-US"/>
              </w:rPr>
              <w:t>Overall mean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B0AD14" w14:textId="77777777" w:rsidR="00CB6CDB" w:rsidRPr="00CB6CDB" w:rsidRDefault="00CB6CDB" w:rsidP="008724AA">
            <w:pPr>
              <w:spacing w:line="360" w:lineRule="auto"/>
              <w:ind w:firstLine="0"/>
              <w:rPr>
                <w:rFonts w:cs="Times New Roman"/>
                <w:b/>
                <w:bCs/>
                <w:color w:val="auto"/>
                <w:szCs w:val="24"/>
                <w:lang w:val="en-US" w:eastAsia="en-US"/>
              </w:rPr>
            </w:pPr>
            <w:r w:rsidRPr="00CB6CDB">
              <w:rPr>
                <w:rFonts w:cs="Times New Roman"/>
                <w:b/>
                <w:bCs/>
                <w:color w:val="auto"/>
                <w:szCs w:val="24"/>
                <w:lang w:val="en-US" w:eastAsia="en-US"/>
              </w:rPr>
              <w:t>3.91</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6EC8F56" w14:textId="77777777" w:rsidR="00CB6CDB" w:rsidRPr="00CB6CDB" w:rsidRDefault="00CB6CDB" w:rsidP="008724AA">
            <w:pPr>
              <w:spacing w:line="360" w:lineRule="auto"/>
              <w:ind w:firstLine="0"/>
              <w:rPr>
                <w:rFonts w:cs="Times New Roman"/>
                <w:b/>
                <w:bCs/>
                <w:color w:val="auto"/>
                <w:szCs w:val="24"/>
                <w:lang w:val="en-US" w:eastAsia="en-US"/>
              </w:rPr>
            </w:pPr>
            <w:r w:rsidRPr="00CB6CDB">
              <w:rPr>
                <w:rFonts w:cs="Times New Roman"/>
                <w:b/>
                <w:bCs/>
                <w:color w:val="auto"/>
                <w:szCs w:val="24"/>
                <w:lang w:val="en-US" w:eastAsia="en-US"/>
              </w:rPr>
              <w:t>0.897</w:t>
            </w:r>
          </w:p>
        </w:tc>
      </w:tr>
      <w:bookmarkEnd w:id="9"/>
    </w:tbl>
    <w:p w14:paraId="5EAF65CE" w14:textId="77777777" w:rsidR="00CB6CDB" w:rsidRPr="00CB6CDB" w:rsidRDefault="00CB6CDB" w:rsidP="008724AA">
      <w:pPr>
        <w:autoSpaceDE w:val="0"/>
        <w:autoSpaceDN w:val="0"/>
        <w:adjustRightInd w:val="0"/>
        <w:spacing w:line="360" w:lineRule="auto"/>
        <w:ind w:firstLine="0"/>
        <w:rPr>
          <w:rFonts w:cs="Times New Roman"/>
          <w:color w:val="auto"/>
          <w:szCs w:val="24"/>
          <w:lang w:val="en-GB" w:eastAsia="en-US"/>
        </w:rPr>
      </w:pPr>
    </w:p>
    <w:p w14:paraId="09E1700C" w14:textId="77777777" w:rsidR="00CB6CDB" w:rsidRPr="00CB6CDB" w:rsidRDefault="00CB6CDB" w:rsidP="008724AA">
      <w:pPr>
        <w:shd w:val="clear" w:color="auto" w:fill="FFFFFF"/>
        <w:spacing w:before="100" w:beforeAutospacing="1" w:after="255" w:afterAutospacing="1" w:line="360" w:lineRule="auto"/>
        <w:rPr>
          <w:rFonts w:cs="Times New Roman"/>
          <w:color w:val="auto"/>
          <w:szCs w:val="24"/>
        </w:rPr>
      </w:pPr>
      <w:r w:rsidRPr="00CB6CDB">
        <w:rPr>
          <w:rFonts w:cs="Times New Roman"/>
          <w:color w:val="auto"/>
          <w:szCs w:val="24"/>
        </w:rPr>
        <w:lastRenderedPageBreak/>
        <w:t>The respondents were asked a series of questions to determine the predominant understanding of corporate governance at ZESA. The resp</w:t>
      </w:r>
      <w:r w:rsidR="007141CD">
        <w:rPr>
          <w:rFonts w:cs="Times New Roman"/>
          <w:color w:val="auto"/>
          <w:szCs w:val="24"/>
        </w:rPr>
        <w:t xml:space="preserve">onses are summarized in Table </w:t>
      </w:r>
      <w:r w:rsidRPr="00CB6CDB">
        <w:rPr>
          <w:rFonts w:cs="Times New Roman"/>
          <w:color w:val="auto"/>
          <w:szCs w:val="24"/>
        </w:rPr>
        <w:t xml:space="preserve">4 using a mean score format. The data clearly shows that the highest average score is 4.52, showing a considerable agreement among respondents regarding the idea that 'CGF encourages honesty and accountability in management'. This finding aligns with a study conducted by </w:t>
      </w:r>
      <w:r w:rsidR="002E1A55">
        <w:rPr>
          <w:rFonts w:cs="Times New Roman"/>
          <w:color w:val="auto"/>
          <w:szCs w:val="24"/>
        </w:rPr>
        <w:fldChar w:fldCharType="begin" w:fldLock="1"/>
      </w:r>
      <w:r w:rsidR="002E1A55">
        <w:rPr>
          <w:rFonts w:cs="Times New Roman"/>
          <w:color w:val="auto"/>
          <w:szCs w:val="24"/>
        </w:rPr>
        <w:instrText>ADDIN CSL_CITATION {"citationItems":[{"id":"ITEM-1","itemData":{"DOI":"10.1016/j.ememar.2012.03.002","ISSN":"15660141","abstract":"This paper reviews recent research on corporate governance, with a special focus on emerging markets. It finds that better corporate governance benefit firms through greater access to financing, lower cost of capital, better performance, and more favorable treatment of all stakeholders. Numerous studies show these channels to operate at the level of firms, sectors and countries-with causality increasingly often clearly identified. Evidence also shows that voluntary and market corporate governance mechanisms have less effect when a country's governance system is weak. Importantly, how corporate governance regimes change over time and how this impacts firms are receiving more attention recently. Less evidence is available on the direct links between corporate governance and social and environmental performance. The paper concludes by identifying issues requiring further study, including the special corporate governance issues of banks, and family-owned and state-owned firms, and the nature and determinants of public and private enforcement. © 2012 Elsevier B.V.","author":[{"dropping-particle":"","family":"Claessens","given":"Stijn","non-dropping-particle":"","parse-names":false,"suffix":""},{"dropping-particle":"","family":"Yurtoglu","given":"B. Burcin","non-dropping-particle":"","parse-names":false,"suffix":""}],"container-title":"Emerging Markets Review","id":"ITEM-1","issued":{"date-parts":[["2013","6"]]},"page":"1-33","title":"Corporate governance in emerging markets: A survey","type":"article-journal","volume":"15"},"uris":["http://www.mendeley.com/documents/?uuid=b6dd794a-f5ce-312f-9cec-cff1e3850c06"]}],"mendeley":{"formattedCitation":"(Claessens &amp; Yurtoglu, 2013)","manualFormatting":"Claessens &amp; Yurtoglu (2013)","plainTextFormattedCitation":"(Claessens &amp; Yurtoglu, 2013)","previouslyFormattedCitation":"(Claessens &amp; Yurtoglu, 2013)"},"properties":{"noteIndex":0},"schema":"https://github.com/citation-style-language/schema/raw/master/csl-citation.json"}</w:instrText>
      </w:r>
      <w:r w:rsidR="002E1A55">
        <w:rPr>
          <w:rFonts w:cs="Times New Roman"/>
          <w:color w:val="auto"/>
          <w:szCs w:val="24"/>
        </w:rPr>
        <w:fldChar w:fldCharType="separate"/>
      </w:r>
      <w:r w:rsidR="002E1A55" w:rsidRPr="002E1A55">
        <w:rPr>
          <w:rFonts w:cs="Times New Roman"/>
          <w:noProof/>
          <w:color w:val="auto"/>
          <w:szCs w:val="24"/>
        </w:rPr>
        <w:t>Claesse</w:t>
      </w:r>
      <w:r w:rsidR="002E1A55">
        <w:rPr>
          <w:rFonts w:cs="Times New Roman"/>
          <w:noProof/>
          <w:color w:val="auto"/>
          <w:szCs w:val="24"/>
        </w:rPr>
        <w:t>ns &amp; Yurtoglu (</w:t>
      </w:r>
      <w:r w:rsidR="002E1A55" w:rsidRPr="002E1A55">
        <w:rPr>
          <w:rFonts w:cs="Times New Roman"/>
          <w:noProof/>
          <w:color w:val="auto"/>
          <w:szCs w:val="24"/>
        </w:rPr>
        <w:t>2013)</w:t>
      </w:r>
      <w:r w:rsidR="002E1A55">
        <w:rPr>
          <w:rFonts w:cs="Times New Roman"/>
          <w:color w:val="auto"/>
          <w:szCs w:val="24"/>
        </w:rPr>
        <w:fldChar w:fldCharType="end"/>
      </w:r>
      <w:r w:rsidRPr="00CB6CDB">
        <w:rPr>
          <w:rFonts w:cs="Times New Roman"/>
          <w:color w:val="auto"/>
          <w:szCs w:val="24"/>
        </w:rPr>
        <w:t xml:space="preserve">, which determined that implementing a corporate governance structure aids in establishing confidence among stakeholders and enhances the long-term prosperity and durability of a firm. Honesty and accountability within a corporation are the result of having a diverse and independent board, ensuring openness, and adopting efficient internal controls </w:t>
      </w:r>
      <w:r w:rsidR="002E1A55">
        <w:rPr>
          <w:rFonts w:cs="Times New Roman"/>
          <w:color w:val="auto"/>
          <w:szCs w:val="24"/>
        </w:rPr>
        <w:fldChar w:fldCharType="begin" w:fldLock="1"/>
      </w:r>
      <w:r w:rsidR="002E1A55">
        <w:rPr>
          <w:rFonts w:cs="Times New Roman"/>
          <w:color w:val="auto"/>
          <w:szCs w:val="24"/>
        </w:rPr>
        <w:instrText>ADDIN CSL_CITATION {"citationItems":[{"id":"ITEM-1","itemData":{"abstract":"The accounting scandals during the last three decades have induced a crisis of confidence in financial reporting practices and effectiveness of corporate governance (CG) mechanisms. Indeed, Forensic Accounting (FA) integrates accounting, auditing and investigative skills to conduct investigations in variety of fraud cases. An increasing number of researchers are finding that \"poor\" CG is a leading factor in dismal performance, manipulated financial reports, and unhappy stakeholders. Some leading corporations and regulatory bodies, however, are trying their best efforts to analyze and correct the existing loopholes in the reporting system. Undoubtedly, qualified, trained and mature Chartered Forensic Accountants (CFA\"s) can prove to be a valuable asset to the corporate sector, and gradually help to improve their CG system. The CFA\"s, being professional member of the CG and Audit Committees, can play a far greater role in coordinating company efforts to achieve a cohesive policy of ethical behavior within an organization. By helping companies to detect and prevent fraud, create a \"positive\" work environment, establish \"effective\" lines of communication, and be vigilant as a corporate \"watchdog\", the CFA\"s role can gradually evolve into a key component in the CG system. In the 21st century, the Forensic Chartered Accountants (FCAs) are in great demand and \"FA is listed among the top-20 careers of the future.\" The fundamental objective of this study is to find out \"how can we integrate the expertise of the Forensic Accounting (FA) to improve the overall corporate governance (CG) scenario prevalent in India?\" Since very little research exists in this area, present research is exploratory in nature. This is a preliminary investigation of the necessary skills, educational and training requirements for CFA\"s to improve CG system. We surveyed academics, practicing fraud and forensic professionals in order determine the perceptions of the professional community. During 2011-12, a questionnaire-based survey was conducted in the National Capital Region of India using a sample size of 120 practicing chartered accountants, accounting academics, and potential users of FA services. In fact, this study is a \"preliminary\" investigation of the necessary skills, education and training requirements for the professional community. The results of this \"exploratory\" study, with few minor differences, indicate that potential practitioners, academics and users agree that \"critic…","author":[{"dropping-particle":"","family":"Bhasin","given":"Madan Lal","non-dropping-particle":"","parse-names":false,"suffix":""}],"container-title":"International Journal of Management Sciences and Business Research","id":"ITEM-1","issue":"1","issued":{"date-parts":[["2017"]]},"page":"31-52","title":"Integrating Corporate Governance and Forensic Accounting: A Study of an Asian Country","type":"article-journal","volume":"6"},"uris":["http://www.mendeley.com/documents/?uuid=3caa8461-a2dd-4596-b00a-c24d15178c98"]}],"mendeley":{"formattedCitation":"(Bhasin, 2017)","plainTextFormattedCitation":"(Bhasin, 2017)","previouslyFormattedCitation":"(Bhasin, 2017)"},"properties":{"noteIndex":0},"schema":"https://github.com/citation-style-language/schema/raw/master/csl-citation.json"}</w:instrText>
      </w:r>
      <w:r w:rsidR="002E1A55">
        <w:rPr>
          <w:rFonts w:cs="Times New Roman"/>
          <w:color w:val="auto"/>
          <w:szCs w:val="24"/>
        </w:rPr>
        <w:fldChar w:fldCharType="separate"/>
      </w:r>
      <w:r w:rsidR="002E1A55" w:rsidRPr="002E1A55">
        <w:rPr>
          <w:rFonts w:cs="Times New Roman"/>
          <w:noProof/>
          <w:color w:val="auto"/>
          <w:szCs w:val="24"/>
        </w:rPr>
        <w:t>(Bhasin, 2017)</w:t>
      </w:r>
      <w:r w:rsidR="002E1A55">
        <w:rPr>
          <w:rFonts w:cs="Times New Roman"/>
          <w:color w:val="auto"/>
          <w:szCs w:val="24"/>
        </w:rPr>
        <w:fldChar w:fldCharType="end"/>
      </w:r>
      <w:r w:rsidRPr="00CB6CDB">
        <w:rPr>
          <w:rFonts w:cs="Times New Roman"/>
          <w:color w:val="auto"/>
          <w:szCs w:val="24"/>
        </w:rPr>
        <w:t>.</w:t>
      </w:r>
    </w:p>
    <w:p w14:paraId="28943887" w14:textId="77777777" w:rsidR="00CB6CDB" w:rsidRPr="00CB6CDB" w:rsidRDefault="00CB6CDB" w:rsidP="008724AA">
      <w:pPr>
        <w:spacing w:after="160" w:line="360" w:lineRule="auto"/>
        <w:rPr>
          <w:rFonts w:eastAsia="SimSun" w:cs="Times New Roman"/>
          <w:color w:val="auto"/>
          <w:szCs w:val="24"/>
          <w:lang w:val="en-GB" w:eastAsia="en-US"/>
        </w:rPr>
      </w:pPr>
      <w:r w:rsidRPr="00CB6CDB">
        <w:rPr>
          <w:rFonts w:eastAsia="SimSun" w:cs="Times New Roman"/>
          <w:color w:val="auto"/>
          <w:szCs w:val="24"/>
          <w:lang w:val="en-GB" w:eastAsia="en-US"/>
        </w:rPr>
        <w:t xml:space="preserve">The findings are supported by some of the key informants who stated that: </w:t>
      </w:r>
    </w:p>
    <w:p w14:paraId="59496769" w14:textId="77777777" w:rsidR="00CB6CDB" w:rsidRPr="00CB6CDB" w:rsidRDefault="00CB6CDB" w:rsidP="008724AA">
      <w:pPr>
        <w:spacing w:after="160" w:line="360" w:lineRule="auto"/>
        <w:ind w:left="720" w:firstLine="0"/>
        <w:rPr>
          <w:rFonts w:eastAsia="SimSun" w:cs="Times New Roman"/>
          <w:color w:val="auto"/>
          <w:szCs w:val="24"/>
          <w:lang w:val="en-US" w:eastAsia="zh-CN"/>
        </w:rPr>
      </w:pPr>
      <w:r w:rsidRPr="00CB6CDB">
        <w:rPr>
          <w:rFonts w:eastAsia="SimSun" w:cs="Times New Roman"/>
          <w:i/>
          <w:iCs/>
          <w:color w:val="auto"/>
          <w:szCs w:val="24"/>
          <w:lang w:val="en-GB" w:eastAsia="en-US"/>
        </w:rPr>
        <w:t>“…</w:t>
      </w:r>
      <w:r w:rsidRPr="00CB6CDB">
        <w:rPr>
          <w:rFonts w:eastAsia="SimSun" w:cs="Times New Roman"/>
          <w:i/>
          <w:iCs/>
          <w:color w:val="auto"/>
          <w:szCs w:val="24"/>
          <w:lang w:val="en-US" w:eastAsia="zh-CN"/>
        </w:rPr>
        <w:t>Corporate Governance in the business arena [in ZESA] incorporates transparency, fairness, independence, accountability, among other things…”.</w:t>
      </w:r>
      <w:r w:rsidRPr="00CB6CDB">
        <w:rPr>
          <w:rFonts w:eastAsia="SimSun" w:cs="Times New Roman"/>
          <w:color w:val="auto"/>
          <w:szCs w:val="24"/>
          <w:lang w:val="en-US" w:eastAsia="zh-CN"/>
        </w:rPr>
        <w:t xml:space="preserve"> [Interviewee 07].</w:t>
      </w:r>
    </w:p>
    <w:p w14:paraId="70111536" w14:textId="77777777" w:rsidR="00CB6CDB" w:rsidRPr="00CB6CDB" w:rsidRDefault="00CB6CDB" w:rsidP="008724AA">
      <w:pPr>
        <w:spacing w:after="160" w:line="360" w:lineRule="auto"/>
        <w:ind w:left="720" w:firstLine="0"/>
        <w:rPr>
          <w:rFonts w:eastAsia="SimSun" w:cs="Times New Roman"/>
          <w:color w:val="auto"/>
          <w:szCs w:val="24"/>
          <w:lang w:val="en-US" w:eastAsia="zh-CN"/>
        </w:rPr>
      </w:pPr>
      <w:r w:rsidRPr="00CB6CDB">
        <w:rPr>
          <w:rFonts w:eastAsia="SimSun" w:cs="Times New Roman"/>
          <w:i/>
          <w:iCs/>
          <w:color w:val="auto"/>
          <w:szCs w:val="24"/>
          <w:lang w:val="en-US" w:eastAsia="zh-CN"/>
        </w:rPr>
        <w:t>“Corporate governance involves processes, practices and structures by which this organization is directed and controlled. The main objective being to enhance transparency and accountability …”</w:t>
      </w:r>
      <w:r w:rsidRPr="00CB6CDB">
        <w:rPr>
          <w:rFonts w:eastAsia="SimSun" w:cs="Times New Roman"/>
          <w:color w:val="auto"/>
          <w:szCs w:val="24"/>
          <w:lang w:val="en-US" w:eastAsia="zh-CN"/>
        </w:rPr>
        <w:t xml:space="preserve"> [Interviewee 04]</w:t>
      </w:r>
    </w:p>
    <w:p w14:paraId="5A67B24D" w14:textId="77777777" w:rsidR="00CB6CDB" w:rsidRPr="00CB6CDB" w:rsidRDefault="00CB6CDB" w:rsidP="008724AA">
      <w:pPr>
        <w:spacing w:after="160" w:line="360" w:lineRule="auto"/>
        <w:ind w:left="720" w:firstLine="0"/>
        <w:rPr>
          <w:rFonts w:eastAsia="SimSun" w:cs="Times New Roman"/>
          <w:color w:val="auto"/>
          <w:szCs w:val="24"/>
          <w:lang w:val="en-US" w:eastAsia="zh-CN"/>
        </w:rPr>
      </w:pPr>
      <w:r w:rsidRPr="00CB6CDB">
        <w:rPr>
          <w:rFonts w:eastAsia="SimSun" w:cs="Times New Roman"/>
          <w:i/>
          <w:iCs/>
          <w:color w:val="auto"/>
          <w:szCs w:val="24"/>
          <w:lang w:val="en-US" w:eastAsia="zh-CN"/>
        </w:rPr>
        <w:t xml:space="preserve">“Corporate governance encompasses various elements which all culminates in the promotion of transparency, accountability and ethical conduct in the affairs of the organization …” </w:t>
      </w:r>
      <w:r w:rsidRPr="00CB6CDB">
        <w:rPr>
          <w:rFonts w:eastAsia="SimSun" w:cs="Times New Roman"/>
          <w:color w:val="auto"/>
          <w:szCs w:val="24"/>
          <w:lang w:val="en-US" w:eastAsia="zh-CN"/>
        </w:rPr>
        <w:t>[Interviewee 03]</w:t>
      </w:r>
    </w:p>
    <w:p w14:paraId="57300D36" w14:textId="77777777" w:rsidR="007141CD" w:rsidRDefault="00CB6CDB" w:rsidP="008724AA">
      <w:pPr>
        <w:shd w:val="clear" w:color="auto" w:fill="FFFFFF"/>
        <w:spacing w:before="100" w:beforeAutospacing="1" w:line="360" w:lineRule="auto"/>
        <w:rPr>
          <w:rFonts w:cs="Times New Roman"/>
          <w:color w:val="auto"/>
          <w:szCs w:val="24"/>
        </w:rPr>
      </w:pPr>
      <w:r w:rsidRPr="00CB6CDB">
        <w:rPr>
          <w:rFonts w:cs="Times New Roman"/>
          <w:color w:val="auto"/>
          <w:szCs w:val="24"/>
        </w:rPr>
        <w:t>An analysis of the quotes above shows that the use of strong corporate governance procedures at ZESA guarantees that its operations and decision-making processes are easily understood by stakeholders. This level of transparency cultivates trust among all the individuals involved and therefore, enhances the assurance and honesty in the actions of the organizati</w:t>
      </w:r>
      <w:r w:rsidR="007141CD">
        <w:rPr>
          <w:rFonts w:cs="Times New Roman"/>
          <w:color w:val="auto"/>
          <w:szCs w:val="24"/>
        </w:rPr>
        <w:t xml:space="preserve">on. According to Table </w:t>
      </w:r>
      <w:r w:rsidRPr="00CB6CDB">
        <w:rPr>
          <w:rFonts w:cs="Times New Roman"/>
          <w:color w:val="auto"/>
          <w:szCs w:val="24"/>
        </w:rPr>
        <w:t xml:space="preserve">4, the respondents expressed disagreement with the idea that 'CGF minimizes the potential for complacency and fraud', as indicated by the lowest </w:t>
      </w:r>
      <w:r w:rsidRPr="00CB6CDB">
        <w:rPr>
          <w:rFonts w:cs="Times New Roman"/>
          <w:color w:val="auto"/>
          <w:szCs w:val="24"/>
        </w:rPr>
        <w:lastRenderedPageBreak/>
        <w:t xml:space="preserve">mean score of 2.17. This corroborates a previous study conducted by </w:t>
      </w:r>
      <w:r w:rsidR="002E1A55">
        <w:rPr>
          <w:rFonts w:cs="Times New Roman"/>
          <w:color w:val="auto"/>
          <w:szCs w:val="24"/>
        </w:rPr>
        <w:fldChar w:fldCharType="begin" w:fldLock="1"/>
      </w:r>
      <w:r w:rsidR="002E1A55">
        <w:rPr>
          <w:rFonts w:cs="Times New Roman"/>
          <w:color w:val="auto"/>
          <w:szCs w:val="24"/>
        </w:rPr>
        <w:instrText>ADDIN CSL_CITATION {"citationItems":[{"id":"ITEM-1","itemData":{"ISSN":"2141-6672","abstract":"Residents associations are a local initiative by residents within a specific community. Through residents associations, citizens have been able to keep local authorities in check and to demand accountability. With the economic crises facing many countries across the globe and the world recession setting in, as well as the economic meltdown in Zimbabwe over the last few years, which was exacerbated by a hyperinflationary environment, local authorities have had to contend with shortages of resources to dispense services to local communities. This has increased restiveness on the part of residents. The article eclectically draws from the mobilisation theory whose premise is that a disgruntled citizenry is easy to mobilise. The study of the Combined Harare Residents' Association (CHRA) has shown that residents' associations are a conduit through which residents can demand accountability and participatory spaces in promoting good local governance. This article seeks to explore the extent to which residents associations have enhanced citizen participation and promote good local governance. This article deliberates on the prospects and challenges which residents associations as residents' initiative can enhance citizen participation in local governance.","author":[{"dropping-particle":"","family":"Mapuva","given":"Jephias","non-dropping-particle":"","parse-names":false,"suffix":""}],"container-title":"African Journal of History and Culture","id":"ITEM-1","issue":"1","issued":{"date-parts":[["2011"]]},"page":"1-12","publisher":"Academic Journals","title":"Enhancing local governance through local initiatives: Residents' associations in Zimbabwe","type":"article-journal","volume":"3"},"uris":["http://www.mendeley.com/documents/?uuid=06e7d047-e05b-3153-9d81-14009ecca4fb"]}],"mendeley":{"formattedCitation":"(Mapuva, 2011)","manualFormatting":"Mapuva (2011)","plainTextFormattedCitation":"(Mapuva, 2011)","previouslyFormattedCitation":"(Mapuva, 2011)"},"properties":{"noteIndex":0},"schema":"https://github.com/citation-style-language/schema/raw/master/csl-citation.json"}</w:instrText>
      </w:r>
      <w:r w:rsidR="002E1A55">
        <w:rPr>
          <w:rFonts w:cs="Times New Roman"/>
          <w:color w:val="auto"/>
          <w:szCs w:val="24"/>
        </w:rPr>
        <w:fldChar w:fldCharType="separate"/>
      </w:r>
      <w:r w:rsidR="002E1A55">
        <w:rPr>
          <w:rFonts w:cs="Times New Roman"/>
          <w:noProof/>
          <w:color w:val="auto"/>
          <w:szCs w:val="24"/>
        </w:rPr>
        <w:t>Mapuva</w:t>
      </w:r>
      <w:r w:rsidR="002E1A55" w:rsidRPr="002E1A55">
        <w:rPr>
          <w:rFonts w:cs="Times New Roman"/>
          <w:noProof/>
          <w:color w:val="auto"/>
          <w:szCs w:val="24"/>
        </w:rPr>
        <w:t xml:space="preserve"> </w:t>
      </w:r>
      <w:r w:rsidR="002E1A55">
        <w:rPr>
          <w:rFonts w:cs="Times New Roman"/>
          <w:noProof/>
          <w:color w:val="auto"/>
          <w:szCs w:val="24"/>
        </w:rPr>
        <w:t>(</w:t>
      </w:r>
      <w:r w:rsidR="002E1A55" w:rsidRPr="002E1A55">
        <w:rPr>
          <w:rFonts w:cs="Times New Roman"/>
          <w:noProof/>
          <w:color w:val="auto"/>
          <w:szCs w:val="24"/>
        </w:rPr>
        <w:t>2011)</w:t>
      </w:r>
      <w:r w:rsidR="002E1A55">
        <w:rPr>
          <w:rFonts w:cs="Times New Roman"/>
          <w:color w:val="auto"/>
          <w:szCs w:val="24"/>
        </w:rPr>
        <w:fldChar w:fldCharType="end"/>
      </w:r>
      <w:r w:rsidRPr="00CB6CDB">
        <w:rPr>
          <w:rFonts w:cs="Times New Roman"/>
          <w:color w:val="auto"/>
          <w:szCs w:val="24"/>
        </w:rPr>
        <w:t xml:space="preserve"> and </w:t>
      </w:r>
      <w:r w:rsidR="002E1A55">
        <w:rPr>
          <w:rFonts w:cs="Times New Roman"/>
          <w:color w:val="auto"/>
          <w:szCs w:val="24"/>
        </w:rPr>
        <w:fldChar w:fldCharType="begin" w:fldLock="1"/>
      </w:r>
      <w:r w:rsidR="002E1A55">
        <w:rPr>
          <w:rFonts w:cs="Times New Roman"/>
          <w:color w:val="auto"/>
          <w:szCs w:val="24"/>
        </w:rPr>
        <w:instrText>ADDIN CSL_CITATION {"citationItems":[{"id":"ITEM-1","itemData":{"DOI":"10.1080/09709274.2016.11907029","ISSN":"0970-9274","abstract":"… Community Participation in NGO “Development Projects” in Zimbabwe: Myth or Reality … This paper sought to evaluate community participation in NGO development projects in Masvingo province from a participatory development theoretical perspective …","author":[{"dropping-particle":"","family":"Tsiga","given":"Blessing","non-dropping-particle":"","parse-names":false,"suffix":""},{"dropping-particle":"","family":"Hofisi","given":"Costa","non-dropping-particle":"","parse-names":false,"suffix":""},{"dropping-particle":"","family":"Mago","given":"Stephen","non-dropping-particle":"","parse-names":false,"suffix":""}],"container-title":"Journal of Human Ecology","id":"ITEM-1","issue":"3","issued":{"date-parts":[["2016"]]},"page":"237-248","title":"Community Participation in NGO “Development Projects” in Zimbabwe: Myth or Reality?","type":"article-journal","volume":"55"},"uris":["http://www.mendeley.com/documents/?uuid=667e26bc-5c8b-4780-98b2-adead4c97bdb"]}],"mendeley":{"formattedCitation":"(Tsiga et al., 2016)","manualFormatting":"Tsiga et al.( 2016)","plainTextFormattedCitation":"(Tsiga et al., 2016)","previouslyFormattedCitation":"(Tsiga et al., 2016)"},"properties":{"noteIndex":0},"schema":"https://github.com/citation-style-language/schema/raw/master/csl-citation.json"}</w:instrText>
      </w:r>
      <w:r w:rsidR="002E1A55">
        <w:rPr>
          <w:rFonts w:cs="Times New Roman"/>
          <w:color w:val="auto"/>
          <w:szCs w:val="24"/>
        </w:rPr>
        <w:fldChar w:fldCharType="separate"/>
      </w:r>
      <w:r w:rsidR="002E1A55">
        <w:rPr>
          <w:rFonts w:cs="Times New Roman"/>
          <w:noProof/>
          <w:color w:val="auto"/>
          <w:szCs w:val="24"/>
        </w:rPr>
        <w:t>Tsiga et al.(</w:t>
      </w:r>
      <w:r w:rsidR="002E1A55" w:rsidRPr="002E1A55">
        <w:rPr>
          <w:rFonts w:cs="Times New Roman"/>
          <w:noProof/>
          <w:color w:val="auto"/>
          <w:szCs w:val="24"/>
        </w:rPr>
        <w:t xml:space="preserve"> 2016)</w:t>
      </w:r>
      <w:r w:rsidR="002E1A55">
        <w:rPr>
          <w:rFonts w:cs="Times New Roman"/>
          <w:color w:val="auto"/>
          <w:szCs w:val="24"/>
        </w:rPr>
        <w:fldChar w:fldCharType="end"/>
      </w:r>
      <w:r w:rsidRPr="00CB6CDB">
        <w:rPr>
          <w:rFonts w:cs="Times New Roman"/>
          <w:color w:val="auto"/>
          <w:szCs w:val="24"/>
        </w:rPr>
        <w:t>, which found that political influence hampers the efficacy of corporate governance to some extent.</w:t>
      </w:r>
    </w:p>
    <w:p w14:paraId="6977B744"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Fur</w:t>
      </w:r>
      <w:r w:rsidR="007141CD">
        <w:rPr>
          <w:rFonts w:cs="Times New Roman"/>
          <w:color w:val="auto"/>
          <w:szCs w:val="24"/>
        </w:rPr>
        <w:t xml:space="preserve">thermore, the preceding Table </w:t>
      </w:r>
      <w:r w:rsidRPr="00CB6CDB">
        <w:rPr>
          <w:rFonts w:cs="Times New Roman"/>
          <w:color w:val="auto"/>
          <w:szCs w:val="24"/>
        </w:rPr>
        <w:t xml:space="preserve">4 displays a mean score of 3.91, accompanied by a standard deviation of 0.897. The average score of 3.91 suggests that the respondents largely agreed with the five conceptions used to assess their comprehension of the corporate governance framework at ZESA. The author supports </w:t>
      </w:r>
      <w:r w:rsidR="002E1A55">
        <w:rPr>
          <w:rFonts w:cs="Times New Roman"/>
          <w:color w:val="auto"/>
          <w:szCs w:val="24"/>
        </w:rPr>
        <w:fldChar w:fldCharType="begin" w:fldLock="1"/>
      </w:r>
      <w:r w:rsidR="002E1A55">
        <w:rPr>
          <w:rFonts w:cs="Times New Roman"/>
          <w:color w:val="auto"/>
          <w:szCs w:val="24"/>
        </w:rPr>
        <w:instrText>ADDIN CSL_CITATION {"citationItems":[{"id":"ITEM-1","itemData":{"DOI":"10.1080/21632324.2017.1285850","ISSN":"2163-2324","abstract":"The attainment of independence by most African states did not bring about sustainable peace because of socio-economic and political challenges that pitted citizens of the same country, one against ...","author":[{"dropping-particle":"","family":"Hove","given":"Mediel","non-dropping-particle":"","parse-names":false,"suffix":""},{"dropping-particle":"","family":"Ndawana","given":"Enock","non-dropping-particle":"","parse-names":false,"suffix":""}],"container-title":"Migration and Development","id":"ITEM-1","issue":"2","issued":{"date-parts":[["2018","6"]]},"page":"201-221","publisher":"SAGE Publications","title":"National instability as a threat to Africa's vision to transform borders from barriers into bridges of development","type":"article-journal","volume":"7"},"uris":["http://www.mendeley.com/documents/?uuid=f29adae9-ad70-33cb-b616-83dd95d738c4"]}],"mendeley":{"formattedCitation":"(Hove &amp; Ndawana, 2018)","manualFormatting":"Hove &amp; Ndawana, 2018)","plainTextFormattedCitation":"(Hove &amp; Ndawana, 2018)","previouslyFormattedCitation":"(Hove &amp; Ndawana, 2018)"},"properties":{"noteIndex":0},"schema":"https://github.com/citation-style-language/schema/raw/master/csl-citation.json"}</w:instrText>
      </w:r>
      <w:r w:rsidR="002E1A55">
        <w:rPr>
          <w:rFonts w:cs="Times New Roman"/>
          <w:color w:val="auto"/>
          <w:szCs w:val="24"/>
        </w:rPr>
        <w:fldChar w:fldCharType="separate"/>
      </w:r>
      <w:r w:rsidR="002E1A55" w:rsidRPr="002E1A55">
        <w:rPr>
          <w:rFonts w:cs="Times New Roman"/>
          <w:noProof/>
          <w:color w:val="auto"/>
          <w:szCs w:val="24"/>
        </w:rPr>
        <w:t>Hove &amp; Ndawana, 2018)</w:t>
      </w:r>
      <w:r w:rsidR="002E1A55">
        <w:rPr>
          <w:rFonts w:cs="Times New Roman"/>
          <w:color w:val="auto"/>
          <w:szCs w:val="24"/>
        </w:rPr>
        <w:fldChar w:fldCharType="end"/>
      </w:r>
      <w:r w:rsidRPr="00CB6CDB">
        <w:rPr>
          <w:rFonts w:cs="Times New Roman"/>
          <w:color w:val="auto"/>
          <w:szCs w:val="24"/>
        </w:rPr>
        <w:t xml:space="preserve"> argument that by following corporate governance standards, ZESA may effectively tackle its difficulties and enhance its overall performance. The study participants' responses to the six assertions showed a low overall standard deviation (SD) of 0.897, indicating that there was little variation from the mean score of 3.91 (Agreed). </w:t>
      </w:r>
      <w:r w:rsidRPr="00CB6CDB">
        <w:rPr>
          <w:rFonts w:cs="Times New Roman"/>
          <w:bCs/>
          <w:color w:val="auto"/>
          <w:szCs w:val="24"/>
          <w:lang w:eastAsia="en-US"/>
        </w:rPr>
        <w:t>From the interviews conducted, the aspect of governance as it related to how issues on corporate governance are understood by the organisation featured promi</w:t>
      </w:r>
      <w:r w:rsidR="007141CD">
        <w:rPr>
          <w:rFonts w:cs="Times New Roman"/>
          <w:bCs/>
          <w:color w:val="auto"/>
          <w:szCs w:val="24"/>
          <w:lang w:eastAsia="en-US"/>
        </w:rPr>
        <w:t xml:space="preserve">nently as displayed in Figure </w:t>
      </w:r>
      <w:r w:rsidRPr="00CB6CDB">
        <w:rPr>
          <w:rFonts w:cs="Times New Roman"/>
          <w:bCs/>
          <w:color w:val="auto"/>
          <w:szCs w:val="24"/>
          <w:lang w:eastAsia="en-US"/>
        </w:rPr>
        <w:t xml:space="preserve">4 following a Word Tree textual analysis generated from the NVivo application.   </w:t>
      </w:r>
    </w:p>
    <w:p w14:paraId="30BEA610" w14:textId="77777777" w:rsidR="00CB6CDB" w:rsidRPr="00CB6CDB" w:rsidRDefault="00CB6CDB" w:rsidP="008724AA">
      <w:pPr>
        <w:spacing w:after="160" w:line="360" w:lineRule="auto"/>
        <w:ind w:firstLine="0"/>
        <w:rPr>
          <w:rFonts w:eastAsia="SimSun" w:cs="Times New Roman"/>
          <w:color w:val="FF0000"/>
          <w:szCs w:val="24"/>
          <w:lang w:val="en-US" w:eastAsia="zh-CN"/>
        </w:rPr>
      </w:pPr>
      <w:r w:rsidRPr="00CB6CDB">
        <w:rPr>
          <w:rFonts w:cs="Times New Roman"/>
          <w:noProof/>
          <w:color w:val="FF0000"/>
          <w:kern w:val="2"/>
          <w:szCs w:val="24"/>
          <w:lang w:val="en-US" w:eastAsia="en-US"/>
          <w14:ligatures w14:val="standardContextual"/>
        </w:rPr>
        <w:drawing>
          <wp:inline distT="0" distB="0" distL="0" distR="0" wp14:anchorId="15BF89A5" wp14:editId="67479CEB">
            <wp:extent cx="5731510" cy="2492375"/>
            <wp:effectExtent l="19050" t="19050" r="21590" b="222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7995" name=""/>
                    <pic:cNvPicPr/>
                  </pic:nvPicPr>
                  <pic:blipFill>
                    <a:blip r:embed="rId11"/>
                    <a:stretch>
                      <a:fillRect/>
                    </a:stretch>
                  </pic:blipFill>
                  <pic:spPr>
                    <a:xfrm>
                      <a:off x="0" y="0"/>
                      <a:ext cx="5731510" cy="2492375"/>
                    </a:xfrm>
                    <a:prstGeom prst="rect">
                      <a:avLst/>
                    </a:prstGeom>
                    <a:ln>
                      <a:solidFill>
                        <a:schemeClr val="tx1"/>
                      </a:solidFill>
                    </a:ln>
                  </pic:spPr>
                </pic:pic>
              </a:graphicData>
            </a:graphic>
          </wp:inline>
        </w:drawing>
      </w:r>
    </w:p>
    <w:p w14:paraId="1CF57F0B" w14:textId="77777777" w:rsidR="00CB6CDB" w:rsidRPr="00CB6CDB" w:rsidRDefault="007141CD" w:rsidP="008724AA">
      <w:pPr>
        <w:spacing w:after="160" w:line="360" w:lineRule="auto"/>
        <w:ind w:firstLine="0"/>
        <w:rPr>
          <w:rFonts w:cs="Times New Roman"/>
          <w:b/>
          <w:bCs/>
          <w:noProof/>
          <w:color w:val="auto"/>
          <w:kern w:val="2"/>
          <w:szCs w:val="24"/>
          <w:lang w:eastAsia="en-US"/>
          <w14:ligatures w14:val="standardContextual"/>
        </w:rPr>
      </w:pPr>
      <w:r>
        <w:rPr>
          <w:rFonts w:cs="Times New Roman"/>
          <w:b/>
          <w:bCs/>
          <w:noProof/>
          <w:color w:val="auto"/>
          <w:kern w:val="2"/>
          <w:szCs w:val="24"/>
          <w:lang w:eastAsia="en-US"/>
          <w14:ligatures w14:val="standardContextual"/>
        </w:rPr>
        <w:t xml:space="preserve">Fig. </w:t>
      </w:r>
      <w:r w:rsidR="00CB6CDB" w:rsidRPr="00CB6CDB">
        <w:rPr>
          <w:rFonts w:cs="Times New Roman"/>
          <w:b/>
          <w:bCs/>
          <w:noProof/>
          <w:color w:val="auto"/>
          <w:kern w:val="2"/>
          <w:szCs w:val="24"/>
          <w:lang w:eastAsia="en-US"/>
          <w14:ligatures w14:val="standardContextual"/>
        </w:rPr>
        <w:t>4: Word tree on governance</w:t>
      </w:r>
    </w:p>
    <w:p w14:paraId="11178A90" w14:textId="77777777" w:rsidR="007141CD" w:rsidRDefault="007141CD" w:rsidP="008724AA">
      <w:pPr>
        <w:shd w:val="clear" w:color="auto" w:fill="FFFFFF"/>
        <w:spacing w:before="100" w:beforeAutospacing="1" w:after="255" w:afterAutospacing="1" w:line="360" w:lineRule="auto"/>
        <w:rPr>
          <w:rFonts w:cs="Times New Roman"/>
          <w:color w:val="auto"/>
          <w:szCs w:val="24"/>
        </w:rPr>
      </w:pPr>
      <w:r>
        <w:rPr>
          <w:rFonts w:cs="Times New Roman"/>
          <w:color w:val="auto"/>
          <w:szCs w:val="24"/>
        </w:rPr>
        <w:t xml:space="preserve">Figure </w:t>
      </w:r>
      <w:r w:rsidR="00CB6CDB" w:rsidRPr="00CB6CDB">
        <w:rPr>
          <w:rFonts w:cs="Times New Roman"/>
          <w:color w:val="auto"/>
          <w:szCs w:val="24"/>
        </w:rPr>
        <w:t xml:space="preserve">4 reinforces the descriptive statistics shown in Table 4.3, which identified the variables employed in the study to assess several aspects of comprehending the corporate </w:t>
      </w:r>
      <w:r w:rsidR="00CB6CDB" w:rsidRPr="00CB6CDB">
        <w:rPr>
          <w:rFonts w:cs="Times New Roman"/>
          <w:color w:val="auto"/>
          <w:szCs w:val="24"/>
        </w:rPr>
        <w:lastRenderedPageBreak/>
        <w:t xml:space="preserve">governance framework at ZESA. Upon </w:t>
      </w:r>
      <w:r>
        <w:rPr>
          <w:rFonts w:cs="Times New Roman"/>
          <w:color w:val="auto"/>
          <w:szCs w:val="24"/>
        </w:rPr>
        <w:t xml:space="preserve">careful examination of Figure </w:t>
      </w:r>
      <w:r w:rsidR="00CB6CDB" w:rsidRPr="00CB6CDB">
        <w:rPr>
          <w:rFonts w:cs="Times New Roman"/>
          <w:color w:val="auto"/>
          <w:szCs w:val="24"/>
        </w:rPr>
        <w:t xml:space="preserve">4, it becomes evident that the phrase 'governance' was referenced from several significant viewpoints, including institutional, practices, framework, and corporate. </w:t>
      </w:r>
      <w:bookmarkStart w:id="14" w:name="_Toc161654484"/>
    </w:p>
    <w:p w14:paraId="4F2B6751" w14:textId="77777777" w:rsidR="00CB6CDB" w:rsidRPr="00CB6CDB" w:rsidRDefault="00CB6CDB" w:rsidP="008724AA">
      <w:pPr>
        <w:pStyle w:val="Heading2"/>
        <w:spacing w:line="360" w:lineRule="auto"/>
        <w:rPr>
          <w:lang w:val="en-ZW" w:eastAsia="en-ZW"/>
        </w:rPr>
      </w:pPr>
      <w:r w:rsidRPr="00CB6CDB">
        <w:t>Institutional governance practices employed at ZESA</w:t>
      </w:r>
      <w:bookmarkEnd w:id="14"/>
    </w:p>
    <w:p w14:paraId="4F276052" w14:textId="77777777" w:rsidR="00CB6CDB" w:rsidRPr="00CB6CDB" w:rsidRDefault="00CB6CDB" w:rsidP="008724AA">
      <w:pPr>
        <w:spacing w:after="160" w:line="360" w:lineRule="auto"/>
        <w:rPr>
          <w:rFonts w:eastAsia="SimSun" w:cs="Times New Roman"/>
          <w:color w:val="auto"/>
          <w:szCs w:val="24"/>
          <w:lang w:val="en-GB" w:eastAsia="en-US"/>
        </w:rPr>
      </w:pPr>
      <w:r w:rsidRPr="00CB6CDB">
        <w:rPr>
          <w:rFonts w:eastAsia="SimSun" w:cs="Times New Roman"/>
          <w:color w:val="auto"/>
          <w:szCs w:val="24"/>
          <w:lang w:val="en-GB" w:eastAsia="en-US"/>
        </w:rPr>
        <w:t>A critique of the institutional governance practices currently being employed at ZESA was conducted and the findi</w:t>
      </w:r>
      <w:r w:rsidR="00525872">
        <w:rPr>
          <w:rFonts w:eastAsia="SimSun" w:cs="Times New Roman"/>
          <w:color w:val="auto"/>
          <w:szCs w:val="24"/>
          <w:lang w:val="en-GB" w:eastAsia="en-US"/>
        </w:rPr>
        <w:t xml:space="preserve">ngs are illustrated in Figure </w:t>
      </w:r>
      <w:r w:rsidRPr="00CB6CDB">
        <w:rPr>
          <w:rFonts w:eastAsia="SimSun" w:cs="Times New Roman"/>
          <w:color w:val="auto"/>
          <w:szCs w:val="24"/>
          <w:lang w:val="en-GB" w:eastAsia="en-US"/>
        </w:rPr>
        <w:t xml:space="preserve">5 below. </w:t>
      </w:r>
    </w:p>
    <w:p w14:paraId="34A71816" w14:textId="77777777" w:rsidR="00CB6CDB" w:rsidRPr="00CB6CDB" w:rsidRDefault="00CB6CDB" w:rsidP="008724AA">
      <w:pPr>
        <w:spacing w:line="360" w:lineRule="auto"/>
        <w:rPr>
          <w:rFonts w:eastAsia="SimSun" w:cs="Times New Roman"/>
          <w:color w:val="FF0000"/>
          <w:szCs w:val="24"/>
          <w:lang w:val="en-GB" w:eastAsia="en-US"/>
        </w:rPr>
      </w:pPr>
      <w:r w:rsidRPr="00CB6CDB">
        <w:rPr>
          <w:rFonts w:cs="Times New Roman"/>
          <w:noProof/>
          <w:color w:val="FF0000"/>
          <w:kern w:val="2"/>
          <w:szCs w:val="24"/>
          <w:lang w:val="en-US" w:eastAsia="en-US"/>
          <w14:ligatures w14:val="standardContextual"/>
        </w:rPr>
        <w:drawing>
          <wp:inline distT="0" distB="0" distL="0" distR="0" wp14:anchorId="3B4523B2" wp14:editId="415BCC32">
            <wp:extent cx="4788131" cy="2784763"/>
            <wp:effectExtent l="0" t="0" r="12700" b="15875"/>
            <wp:docPr id="5" name="Chart 1">
              <a:extLst xmlns:a="http://schemas.openxmlformats.org/drawingml/2006/main">
                <a:ext uri="{FF2B5EF4-FFF2-40B4-BE49-F238E27FC236}">
                  <a16:creationId xmlns:a16="http://schemas.microsoft.com/office/drawing/2014/main" id="{8D5D516D-07C0-92CC-5630-B6F5CE4D9B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53C5DC" w14:textId="77777777" w:rsidR="00CB6CDB" w:rsidRPr="00CB6CDB" w:rsidRDefault="00525872" w:rsidP="008724AA">
      <w:pPr>
        <w:spacing w:line="360" w:lineRule="auto"/>
        <w:rPr>
          <w:rFonts w:eastAsia="SimSun" w:cs="Times New Roman"/>
          <w:b/>
          <w:bCs/>
          <w:color w:val="auto"/>
          <w:szCs w:val="24"/>
          <w:lang w:val="en-GB" w:eastAsia="en-US"/>
        </w:rPr>
      </w:pPr>
      <w:r>
        <w:rPr>
          <w:rFonts w:eastAsia="SimSun" w:cs="Times New Roman"/>
          <w:b/>
          <w:bCs/>
          <w:color w:val="auto"/>
          <w:szCs w:val="24"/>
          <w:lang w:val="en-GB" w:eastAsia="en-US"/>
        </w:rPr>
        <w:t xml:space="preserve">Fig. </w:t>
      </w:r>
      <w:r w:rsidR="00CB6CDB" w:rsidRPr="00CB6CDB">
        <w:rPr>
          <w:rFonts w:eastAsia="SimSun" w:cs="Times New Roman"/>
          <w:b/>
          <w:bCs/>
          <w:color w:val="auto"/>
          <w:szCs w:val="24"/>
          <w:lang w:val="en-GB" w:eastAsia="en-US"/>
        </w:rPr>
        <w:t>5: Respondents views on institutional governance practices at ZESA</w:t>
      </w:r>
    </w:p>
    <w:p w14:paraId="6DDA2F6F" w14:textId="77777777" w:rsidR="00CB6CDB" w:rsidRPr="00CB6CDB" w:rsidRDefault="00CB6CDB" w:rsidP="008724AA">
      <w:pPr>
        <w:spacing w:after="200" w:line="360" w:lineRule="auto"/>
        <w:rPr>
          <w:rFonts w:eastAsia="SimSun" w:cs="Times New Roman"/>
          <w:color w:val="auto"/>
          <w:szCs w:val="24"/>
          <w:lang w:val="en-GB" w:eastAsia="en-US"/>
        </w:rPr>
      </w:pPr>
    </w:p>
    <w:p w14:paraId="665A9D19" w14:textId="77777777" w:rsidR="00525872" w:rsidRDefault="00525872" w:rsidP="008724AA">
      <w:pPr>
        <w:shd w:val="clear" w:color="auto" w:fill="FFFFFF"/>
        <w:spacing w:line="360" w:lineRule="auto"/>
        <w:rPr>
          <w:rFonts w:cs="Times New Roman"/>
          <w:color w:val="auto"/>
          <w:szCs w:val="24"/>
        </w:rPr>
      </w:pPr>
      <w:r>
        <w:rPr>
          <w:rFonts w:cs="Times New Roman"/>
          <w:color w:val="auto"/>
          <w:szCs w:val="24"/>
        </w:rPr>
        <w:t xml:space="preserve">Figure </w:t>
      </w:r>
      <w:r w:rsidR="00CB6CDB" w:rsidRPr="00CB6CDB">
        <w:rPr>
          <w:rFonts w:cs="Times New Roman"/>
          <w:color w:val="auto"/>
          <w:szCs w:val="24"/>
        </w:rPr>
        <w:t xml:space="preserve">5 demonstrates that ZESA implements many corporate governance techniques, as indicated by the significant proportion of respondents who consistently responded 'always' to all the factors examined in the study. All the factors included in the study indicate the existence of a board at ZESA that facilitates the enforcement of corporate governance inside the organization. The discovery validates the conclusions of previous researchers, such as Alzoubi &amp; </w:t>
      </w:r>
      <w:proofErr w:type="spellStart"/>
      <w:r w:rsidR="00CB6CDB" w:rsidRPr="00CB6CDB">
        <w:rPr>
          <w:rFonts w:cs="Times New Roman"/>
          <w:color w:val="auto"/>
          <w:szCs w:val="24"/>
        </w:rPr>
        <w:t>Selemat</w:t>
      </w:r>
      <w:proofErr w:type="spellEnd"/>
      <w:r w:rsidR="00CB6CDB" w:rsidRPr="00CB6CDB">
        <w:rPr>
          <w:rFonts w:cs="Times New Roman"/>
          <w:color w:val="auto"/>
          <w:szCs w:val="24"/>
        </w:rPr>
        <w:t xml:space="preserve"> (2012), who emphasized the crucial function of a board of directors in ensuring oversight and accountability of the executive management, thereby safeguarding the interests of the owners. All participants unanimously agreed that the board meets the </w:t>
      </w:r>
      <w:r w:rsidR="00CB6CDB" w:rsidRPr="00CB6CDB">
        <w:rPr>
          <w:rFonts w:cs="Times New Roman"/>
          <w:color w:val="auto"/>
          <w:szCs w:val="24"/>
        </w:rPr>
        <w:lastRenderedPageBreak/>
        <w:t xml:space="preserve">minimum requirement of convening four times yearly, resulting in a perfect score of 100% for this question. The study found that the highest level of disapproval, at 34%, was detected when examining whether the board had independent access to senior management staff. </w:t>
      </w:r>
      <w:r w:rsidR="00CB6CDB" w:rsidRPr="00CB6CDB">
        <w:rPr>
          <w:rFonts w:cs="Times New Roman"/>
          <w:color w:val="auto"/>
          <w:szCs w:val="24"/>
        </w:rPr>
        <w:br/>
        <w:t>The findings align with the ZESA annual report (2022) which indicates that ZESA adheres to sound corporate governance principles. However, certain stakeholders have expressed concerns about the lack of transparency in ZESA's activities, although this is only applicable to a few specific areas. As a result, there is a dearth of confidence in the company's leadership, making it challenging for stakeholders to ensure</w:t>
      </w:r>
      <w:r>
        <w:rPr>
          <w:rFonts w:cs="Times New Roman"/>
          <w:color w:val="auto"/>
          <w:szCs w:val="24"/>
        </w:rPr>
        <w:t xml:space="preserve"> the company's responsibility. </w:t>
      </w:r>
    </w:p>
    <w:p w14:paraId="3D49B7F3" w14:textId="77777777" w:rsid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In addition, th</w:t>
      </w:r>
      <w:r w:rsidR="00525872">
        <w:rPr>
          <w:rFonts w:cs="Times New Roman"/>
          <w:color w:val="auto"/>
          <w:szCs w:val="24"/>
        </w:rPr>
        <w:t xml:space="preserve">e findings depicted in Figure </w:t>
      </w:r>
      <w:r w:rsidRPr="00CB6CDB">
        <w:rPr>
          <w:rFonts w:cs="Times New Roman"/>
          <w:color w:val="auto"/>
          <w:szCs w:val="24"/>
        </w:rPr>
        <w:t xml:space="preserve">5 indicate that ZESA implements commendable institutional procedures, such as the establishment of a board that assumes the responsibility of overseeing the organization's management. In addition, the board is responsible for selecting the CEO and granting approval for senior management appointments. In addition, the board is responsible for approving the organization's strategic plan and providing a fair and comprehensible evaluation of the organization's performance, among other duties. An institutional practice of this nature directs the organization towards its strategic objectives and ensures that ZESA adheres to applicable laws, regulations, and ethical standards. The results align with the findings of </w:t>
      </w:r>
      <w:r w:rsidR="002E1A55">
        <w:rPr>
          <w:rFonts w:cs="Times New Roman"/>
          <w:color w:val="auto"/>
          <w:szCs w:val="24"/>
        </w:rPr>
        <w:fldChar w:fldCharType="begin" w:fldLock="1"/>
      </w:r>
      <w:r w:rsidR="004D3ED2">
        <w:rPr>
          <w:rFonts w:cs="Times New Roman"/>
          <w:color w:val="auto"/>
          <w:szCs w:val="24"/>
        </w:rPr>
        <w:instrText>ADDIN CSL_CITATION {"citationItems":[{"id":"ITEM-1","itemData":{"DOI":"10.1287/MNSC.2014.1984","ISSN":"15265501","abstract":"We investigate the effect of corporate sustainability on organizational processes and performance. Using a matched sample of 180 U.S. companies, we find that corporations that voluntarily adopted sustainability policies by 1993 - termed as high sustainability companies - exhibit by 2009 distinct organizational processes compared to a matched sample of companies that adopted almost none of these policies - termed as low sustainability companies. The boards of directors of high sustainability companies are more likely to be formally responsible for sustainability, and top executive compensation incentives are more likely to be a function of sustainability metrics. High sustainability companies are more likely to have established processes for stakeholder engagement, to be more long-term oriented, and to exhibit higher measurement and disclosure of nonfinancial information. Finally, high sustainability companies significantly outperform their counterparts over the long term, both in terms of stock market and accounting performance.","author":[{"dropping-particle":"","family":"Eccles","given":"Robert G.","non-dropping-particle":"","parse-names":false,"suffix":""},{"dropping-particle":"","family":"Ioannou","given":"Ioannis","non-dropping-particle":"","parse-names":false,"suffix":""},{"dropping-particle":"","family":"Serafeim","given":"George","non-dropping-particle":"","parse-names":false,"suffix":""}],"container-title":"Management Science","id":"ITEM-1","issue":"11","issued":{"date-parts":[["2014","11","1"]]},"page":"2835-2857","publisher":"INFORMS Inst.for Operations Res.and the Management Sciences","title":"The impact of corporate sustainability on organizational processes and performance","type":"article-journal","volume":"60"},"uris":["http://www.mendeley.com/documents/?uuid=02911d2b-6a34-3863-84a6-4b92a1714f22"]}],"mendeley":{"formattedCitation":"(Eccles et al., 2014)","manualFormatting":"Eccles et al. (2014)","plainTextFormattedCitation":"(Eccles et al., 2014)","previouslyFormattedCitation":"(Eccles et al., 2014)"},"properties":{"noteIndex":0},"schema":"https://github.com/citation-style-language/schema/raw/master/csl-citation.json"}</w:instrText>
      </w:r>
      <w:r w:rsidR="002E1A55">
        <w:rPr>
          <w:rFonts w:cs="Times New Roman"/>
          <w:color w:val="auto"/>
          <w:szCs w:val="24"/>
        </w:rPr>
        <w:fldChar w:fldCharType="separate"/>
      </w:r>
      <w:r w:rsidR="002E1A55" w:rsidRPr="002E1A55">
        <w:rPr>
          <w:rFonts w:cs="Times New Roman"/>
          <w:noProof/>
          <w:color w:val="auto"/>
          <w:szCs w:val="24"/>
        </w:rPr>
        <w:t>Eccles et al.</w:t>
      </w:r>
      <w:r w:rsidR="004D3ED2">
        <w:rPr>
          <w:rFonts w:cs="Times New Roman"/>
          <w:noProof/>
          <w:color w:val="auto"/>
          <w:szCs w:val="24"/>
        </w:rPr>
        <w:t xml:space="preserve"> (</w:t>
      </w:r>
      <w:r w:rsidR="002E1A55" w:rsidRPr="002E1A55">
        <w:rPr>
          <w:rFonts w:cs="Times New Roman"/>
          <w:noProof/>
          <w:color w:val="auto"/>
          <w:szCs w:val="24"/>
        </w:rPr>
        <w:t>2014)</w:t>
      </w:r>
      <w:r w:rsidR="002E1A55">
        <w:rPr>
          <w:rFonts w:cs="Times New Roman"/>
          <w:color w:val="auto"/>
          <w:szCs w:val="24"/>
        </w:rPr>
        <w:fldChar w:fldCharType="end"/>
      </w:r>
      <w:r w:rsidRPr="00CB6CDB">
        <w:rPr>
          <w:rFonts w:cs="Times New Roman"/>
          <w:color w:val="auto"/>
          <w:szCs w:val="24"/>
        </w:rPr>
        <w:t xml:space="preserve">, which state that a Board of Directors plays a crucial role in making significant decisions that affect an organization's operations, financial stability, and long-term viability. </w:t>
      </w:r>
    </w:p>
    <w:p w14:paraId="3FCB4E96" w14:textId="77777777" w:rsidR="003B131C" w:rsidRPr="00CB6CDB" w:rsidRDefault="003B131C" w:rsidP="008724AA">
      <w:pPr>
        <w:shd w:val="clear" w:color="auto" w:fill="FFFFFF"/>
        <w:spacing w:line="360" w:lineRule="auto"/>
        <w:rPr>
          <w:rFonts w:cs="Times New Roman"/>
          <w:color w:val="auto"/>
          <w:szCs w:val="24"/>
        </w:rPr>
      </w:pPr>
    </w:p>
    <w:p w14:paraId="5022C662" w14:textId="77777777" w:rsidR="00CB6CDB" w:rsidRPr="00CB6CDB" w:rsidRDefault="00CB6CDB" w:rsidP="008724AA">
      <w:pPr>
        <w:keepNext/>
        <w:keepLines/>
        <w:spacing w:line="360" w:lineRule="auto"/>
        <w:ind w:firstLine="0"/>
        <w:contextualSpacing/>
        <w:outlineLvl w:val="1"/>
        <w:rPr>
          <w:rFonts w:cs="Times New Roman"/>
          <w:b/>
          <w:color w:val="auto"/>
          <w:szCs w:val="24"/>
          <w:lang w:val="en-GB" w:eastAsia="en-GB"/>
        </w:rPr>
      </w:pPr>
      <w:bookmarkStart w:id="15" w:name="_Toc161654485"/>
      <w:bookmarkStart w:id="16" w:name="_Hlk154941956"/>
      <w:r w:rsidRPr="00CB6CDB">
        <w:rPr>
          <w:rFonts w:cs="Times New Roman"/>
          <w:b/>
          <w:bCs/>
          <w:color w:val="auto"/>
          <w:szCs w:val="24"/>
        </w:rPr>
        <w:t>Indicators that reflect effective good corporate governance practices at ZESA</w:t>
      </w:r>
      <w:bookmarkEnd w:id="15"/>
    </w:p>
    <w:bookmarkEnd w:id="16"/>
    <w:p w14:paraId="61218706" w14:textId="77777777" w:rsidR="00CB6CDB" w:rsidRPr="00CB6CDB" w:rsidRDefault="00525872" w:rsidP="008724AA">
      <w:pPr>
        <w:spacing w:after="160" w:line="360" w:lineRule="auto"/>
        <w:rPr>
          <w:rFonts w:cs="Times New Roman"/>
          <w:color w:val="auto"/>
          <w:szCs w:val="24"/>
          <w:lang w:val="en-GB" w:eastAsia="en-US"/>
        </w:rPr>
      </w:pPr>
      <w:r>
        <w:rPr>
          <w:rFonts w:cs="Times New Roman"/>
          <w:color w:val="auto"/>
          <w:szCs w:val="24"/>
          <w:lang w:val="en-GB" w:eastAsia="en-US"/>
        </w:rPr>
        <w:t xml:space="preserve">Table </w:t>
      </w:r>
      <w:r w:rsidR="00CB6CDB" w:rsidRPr="00CB6CDB">
        <w:rPr>
          <w:rFonts w:cs="Times New Roman"/>
          <w:color w:val="auto"/>
          <w:szCs w:val="24"/>
          <w:lang w:val="en-GB" w:eastAsia="en-US"/>
        </w:rPr>
        <w:t xml:space="preserve">5 below shows the descriptive statistics of responses from the 53 respondents on indicators that reflect effective good corporate governance practices at ZESA. </w:t>
      </w:r>
    </w:p>
    <w:p w14:paraId="5E45E0D2" w14:textId="77777777" w:rsidR="00CB6CDB" w:rsidRPr="00CB6CDB" w:rsidRDefault="00525872" w:rsidP="008724AA">
      <w:pPr>
        <w:spacing w:line="360" w:lineRule="auto"/>
        <w:ind w:firstLine="0"/>
        <w:rPr>
          <w:rFonts w:cs="Times New Roman"/>
          <w:b/>
          <w:bCs/>
          <w:color w:val="auto"/>
          <w:szCs w:val="24"/>
          <w:lang w:val="en-US" w:eastAsia="en-US"/>
        </w:rPr>
      </w:pPr>
      <w:r>
        <w:rPr>
          <w:rFonts w:cs="Times New Roman"/>
          <w:b/>
          <w:bCs/>
          <w:color w:val="auto"/>
          <w:szCs w:val="24"/>
          <w:lang w:val="en-US" w:eastAsia="en-US"/>
        </w:rPr>
        <w:t xml:space="preserve">Table </w:t>
      </w:r>
      <w:r w:rsidR="00CB6CDB" w:rsidRPr="00CB6CDB">
        <w:rPr>
          <w:rFonts w:cs="Times New Roman"/>
          <w:b/>
          <w:bCs/>
          <w:color w:val="auto"/>
          <w:szCs w:val="24"/>
          <w:lang w:val="en-US" w:eastAsia="en-US"/>
        </w:rPr>
        <w:t>5: Indicators that reflect good corporate governance practices at ZESA</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78"/>
        <w:gridCol w:w="567"/>
        <w:gridCol w:w="567"/>
        <w:gridCol w:w="1133"/>
      </w:tblGrid>
      <w:tr w:rsidR="00CB6CDB" w:rsidRPr="00CB6CDB" w14:paraId="4D4902FB" w14:textId="77777777" w:rsidTr="00DB73C9">
        <w:trPr>
          <w:cantSplit/>
          <w:trHeight w:val="271"/>
        </w:trPr>
        <w:tc>
          <w:tcPr>
            <w:tcW w:w="9345"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39CECADB"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
                <w:bCs/>
                <w:color w:val="auto"/>
                <w:szCs w:val="24"/>
                <w:lang w:val="en-US" w:eastAsia="en-US"/>
              </w:rPr>
              <w:t>Descriptive Statistics</w:t>
            </w:r>
          </w:p>
        </w:tc>
      </w:tr>
      <w:tr w:rsidR="00CB6CDB" w:rsidRPr="00CB6CDB" w14:paraId="41A1F070" w14:textId="77777777" w:rsidTr="00DB73C9">
        <w:trPr>
          <w:cantSplit/>
        </w:trPr>
        <w:tc>
          <w:tcPr>
            <w:tcW w:w="7078" w:type="dxa"/>
            <w:hideMark/>
          </w:tcPr>
          <w:p w14:paraId="050445B5" w14:textId="77777777" w:rsidR="00CB6CDB" w:rsidRPr="00CB6CDB" w:rsidRDefault="00CB6CDB" w:rsidP="008724AA">
            <w:pPr>
              <w:spacing w:line="360" w:lineRule="auto"/>
              <w:ind w:firstLine="0"/>
              <w:rPr>
                <w:rFonts w:cs="Times New Roman"/>
                <w:b/>
                <w:bCs/>
                <w:color w:val="auto"/>
                <w:kern w:val="2"/>
                <w:szCs w:val="24"/>
                <w:lang w:eastAsia="en-US"/>
                <w14:ligatures w14:val="standardContextual"/>
              </w:rPr>
            </w:pPr>
            <w:r w:rsidRPr="00CB6CDB">
              <w:rPr>
                <w:rFonts w:cs="Times New Roman"/>
                <w:b/>
                <w:bCs/>
                <w:color w:val="auto"/>
                <w:kern w:val="2"/>
                <w:szCs w:val="24"/>
                <w:lang w:eastAsia="en-US"/>
                <w14:ligatures w14:val="standardContextual"/>
              </w:rPr>
              <w:t xml:space="preserve">Aspects that show effectiveness of good corporate governance practices at ZESA </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FF2E129"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3B4A268"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Mean</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3C758AE"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Std. Deviation</w:t>
            </w:r>
          </w:p>
        </w:tc>
      </w:tr>
      <w:tr w:rsidR="00CB6CDB" w:rsidRPr="00CB6CDB" w14:paraId="602DF2F8" w14:textId="77777777" w:rsidTr="003B131C">
        <w:trPr>
          <w:cantSplit/>
          <w:trHeight w:val="648"/>
        </w:trPr>
        <w:tc>
          <w:tcPr>
            <w:tcW w:w="7078" w:type="dxa"/>
          </w:tcPr>
          <w:p w14:paraId="7C91E1CF" w14:textId="77777777" w:rsidR="00CB6CDB" w:rsidRPr="00CB6CDB" w:rsidRDefault="00CB6CDB" w:rsidP="008724AA">
            <w:pPr>
              <w:spacing w:line="360" w:lineRule="auto"/>
              <w:ind w:firstLine="0"/>
              <w:rPr>
                <w:rFonts w:cs="Times New Roman"/>
                <w:b/>
                <w:bCs/>
                <w:color w:val="auto"/>
                <w:kern w:val="2"/>
                <w:szCs w:val="24"/>
                <w:lang w:eastAsia="en-US"/>
                <w14:ligatures w14:val="standardContextual"/>
              </w:rPr>
            </w:pPr>
            <w:bookmarkStart w:id="17" w:name="_Hlk157475400"/>
            <w:r w:rsidRPr="00CB6CDB">
              <w:rPr>
                <w:rFonts w:cs="Times New Roman"/>
                <w:iCs/>
                <w:color w:val="auto"/>
                <w:kern w:val="2"/>
                <w:szCs w:val="24"/>
                <w:lang w:eastAsia="en-US"/>
                <w14:ligatures w14:val="standardContextual"/>
              </w:rPr>
              <w:lastRenderedPageBreak/>
              <w:t xml:space="preserve">Sub committees have got adequate skills and knowledge to meet their demands of the jobs </w:t>
            </w:r>
            <w:bookmarkEnd w:id="17"/>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0390BC56"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53</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6295E5B7"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4.87</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2B9A7958"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.214</w:t>
            </w:r>
          </w:p>
        </w:tc>
      </w:tr>
      <w:tr w:rsidR="00CB6CDB" w:rsidRPr="00CB6CDB" w14:paraId="3FA5936D" w14:textId="77777777" w:rsidTr="00DB73C9">
        <w:trPr>
          <w:cantSplit/>
          <w:trHeight w:val="508"/>
        </w:trPr>
        <w:tc>
          <w:tcPr>
            <w:tcW w:w="7078" w:type="dxa"/>
          </w:tcPr>
          <w:p w14:paraId="5DCEF14E" w14:textId="77777777" w:rsidR="00CB6CDB" w:rsidRPr="00CB6CDB" w:rsidRDefault="00CB6CDB" w:rsidP="008724AA">
            <w:pPr>
              <w:spacing w:line="360" w:lineRule="auto"/>
              <w:ind w:firstLine="0"/>
              <w:rPr>
                <w:rFonts w:cs="Times New Roman"/>
                <w:iCs/>
                <w:color w:val="auto"/>
                <w:kern w:val="2"/>
                <w:szCs w:val="24"/>
                <w:lang w:eastAsia="en-US"/>
                <w14:ligatures w14:val="standardContextual"/>
              </w:rPr>
            </w:pPr>
            <w:r w:rsidRPr="00CB6CDB">
              <w:rPr>
                <w:rFonts w:cs="Times New Roman"/>
                <w:iCs/>
                <w:color w:val="auto"/>
                <w:kern w:val="2"/>
                <w:szCs w:val="24"/>
                <w:lang w:eastAsia="en-US"/>
                <w14:ligatures w14:val="standardContextual"/>
              </w:rPr>
              <w:t xml:space="preserve">Sub-committees report regularly to the board </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670C15AD"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53</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5A86D9B"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4.72</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3981B265"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.218</w:t>
            </w:r>
          </w:p>
        </w:tc>
      </w:tr>
      <w:tr w:rsidR="00CB6CDB" w:rsidRPr="00CB6CDB" w14:paraId="0A965BC6" w14:textId="77777777" w:rsidTr="00DB73C9">
        <w:trPr>
          <w:cantSplit/>
          <w:trHeight w:val="915"/>
        </w:trPr>
        <w:tc>
          <w:tcPr>
            <w:tcW w:w="7078" w:type="dxa"/>
          </w:tcPr>
          <w:p w14:paraId="4E15820E" w14:textId="77777777" w:rsidR="00CB6CDB" w:rsidRPr="00CB6CDB" w:rsidRDefault="00CB6CDB" w:rsidP="008724AA">
            <w:pPr>
              <w:spacing w:line="360" w:lineRule="auto"/>
              <w:ind w:firstLine="0"/>
              <w:rPr>
                <w:rFonts w:cs="Times New Roman"/>
                <w:iCs/>
                <w:color w:val="auto"/>
                <w:kern w:val="2"/>
                <w:szCs w:val="24"/>
                <w:lang w:eastAsia="en-US"/>
                <w14:ligatures w14:val="standardContextual"/>
              </w:rPr>
            </w:pPr>
            <w:r w:rsidRPr="00CB6CDB">
              <w:rPr>
                <w:rFonts w:cs="Times New Roman"/>
                <w:iCs/>
                <w:color w:val="auto"/>
                <w:kern w:val="2"/>
                <w:szCs w:val="24"/>
                <w:lang w:eastAsia="en-US"/>
                <w14:ligatures w14:val="standardContextual"/>
              </w:rPr>
              <w:t>Sub committees advise the board, senior management regarding the organizational threats and opportunities</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2A2B3B8A"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53</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797D88D"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4.32</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775B74A2"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.345</w:t>
            </w:r>
          </w:p>
        </w:tc>
      </w:tr>
      <w:tr w:rsidR="00CB6CDB" w:rsidRPr="00CB6CDB" w14:paraId="47E5BF4B" w14:textId="77777777" w:rsidTr="00DB73C9">
        <w:trPr>
          <w:cantSplit/>
          <w:trHeight w:val="920"/>
        </w:trPr>
        <w:tc>
          <w:tcPr>
            <w:tcW w:w="7078" w:type="dxa"/>
          </w:tcPr>
          <w:p w14:paraId="454B6437" w14:textId="77777777" w:rsidR="00CB6CDB" w:rsidRPr="00CB6CDB" w:rsidRDefault="00CB6CDB" w:rsidP="008724AA">
            <w:pPr>
              <w:spacing w:line="360" w:lineRule="auto"/>
              <w:ind w:firstLine="0"/>
              <w:rPr>
                <w:rFonts w:cs="Times New Roman"/>
                <w:bCs/>
                <w:color w:val="auto"/>
                <w:szCs w:val="24"/>
                <w:lang w:val="en-US" w:eastAsia="en-US"/>
              </w:rPr>
            </w:pPr>
            <w:bookmarkStart w:id="18" w:name="_Hlk157476775"/>
            <w:r w:rsidRPr="00CB6CDB">
              <w:rPr>
                <w:rFonts w:cs="Times New Roman"/>
                <w:iCs/>
                <w:color w:val="auto"/>
                <w:kern w:val="2"/>
                <w:szCs w:val="24"/>
                <w:lang w:eastAsia="en-US"/>
                <w14:ligatures w14:val="standardContextual"/>
              </w:rPr>
              <w:t xml:space="preserve">Sub-committees have adequate and sufficient resources to perform their duties </w:t>
            </w:r>
            <w:bookmarkEnd w:id="18"/>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78506F0A"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53</w:t>
            </w:r>
          </w:p>
        </w:tc>
        <w:tc>
          <w:tcPr>
            <w:tcW w:w="567" w:type="dxa"/>
            <w:tcBorders>
              <w:top w:val="single" w:sz="4" w:space="0" w:color="auto"/>
              <w:left w:val="single" w:sz="4" w:space="0" w:color="auto"/>
              <w:bottom w:val="single" w:sz="4" w:space="0" w:color="auto"/>
              <w:right w:val="single" w:sz="4" w:space="0" w:color="auto"/>
            </w:tcBorders>
            <w:shd w:val="clear" w:color="auto" w:fill="FFFFFF"/>
            <w:hideMark/>
          </w:tcPr>
          <w:p w14:paraId="40C0C366"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3.19</w:t>
            </w:r>
          </w:p>
        </w:tc>
        <w:tc>
          <w:tcPr>
            <w:tcW w:w="1133" w:type="dxa"/>
            <w:tcBorders>
              <w:top w:val="single" w:sz="4" w:space="0" w:color="auto"/>
              <w:left w:val="single" w:sz="4" w:space="0" w:color="auto"/>
              <w:bottom w:val="single" w:sz="4" w:space="0" w:color="auto"/>
              <w:right w:val="single" w:sz="4" w:space="0" w:color="auto"/>
            </w:tcBorders>
            <w:shd w:val="clear" w:color="auto" w:fill="FFFFFF"/>
            <w:hideMark/>
          </w:tcPr>
          <w:p w14:paraId="3E150821" w14:textId="77777777" w:rsidR="00CB6CDB" w:rsidRPr="00CB6CDB" w:rsidRDefault="00CB6CDB" w:rsidP="008724AA">
            <w:pPr>
              <w:spacing w:line="360" w:lineRule="auto"/>
              <w:ind w:firstLine="0"/>
              <w:rPr>
                <w:rFonts w:cs="Times New Roman"/>
                <w:bCs/>
                <w:color w:val="auto"/>
                <w:szCs w:val="24"/>
                <w:lang w:val="en-US" w:eastAsia="en-US"/>
              </w:rPr>
            </w:pPr>
            <w:r w:rsidRPr="00CB6CDB">
              <w:rPr>
                <w:rFonts w:cs="Times New Roman"/>
                <w:bCs/>
                <w:color w:val="auto"/>
                <w:szCs w:val="24"/>
                <w:lang w:val="en-US" w:eastAsia="en-US"/>
              </w:rPr>
              <w:t>.538</w:t>
            </w:r>
          </w:p>
        </w:tc>
      </w:tr>
      <w:tr w:rsidR="00CB6CDB" w:rsidRPr="00CB6CDB" w14:paraId="78D7223B" w14:textId="77777777" w:rsidTr="00DB73C9">
        <w:trPr>
          <w:cantSplit/>
        </w:trPr>
        <w:tc>
          <w:tcPr>
            <w:tcW w:w="7645" w:type="dxa"/>
            <w:gridSpan w:val="2"/>
            <w:tcBorders>
              <w:top w:val="single" w:sz="4" w:space="0" w:color="auto"/>
              <w:left w:val="single" w:sz="4" w:space="0" w:color="auto"/>
              <w:bottom w:val="single" w:sz="4" w:space="0" w:color="auto"/>
              <w:right w:val="single" w:sz="4" w:space="0" w:color="auto"/>
            </w:tcBorders>
            <w:hideMark/>
          </w:tcPr>
          <w:p w14:paraId="53E869E6" w14:textId="77777777" w:rsidR="00CB6CDB" w:rsidRPr="00CB6CDB" w:rsidRDefault="00CB6CDB" w:rsidP="008724AA">
            <w:pPr>
              <w:spacing w:line="360" w:lineRule="auto"/>
              <w:ind w:firstLine="0"/>
              <w:rPr>
                <w:rFonts w:cs="Times New Roman"/>
                <w:b/>
                <w:bCs/>
                <w:color w:val="auto"/>
                <w:szCs w:val="24"/>
                <w:lang w:val="en-US" w:eastAsia="en-US"/>
              </w:rPr>
            </w:pPr>
            <w:r w:rsidRPr="00CB6CDB">
              <w:rPr>
                <w:rFonts w:cs="Times New Roman"/>
                <w:b/>
                <w:bCs/>
                <w:color w:val="auto"/>
                <w:szCs w:val="24"/>
                <w:lang w:val="en-US" w:eastAsia="en-US"/>
              </w:rPr>
              <w:t>Overall mean</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338B9A" w14:textId="77777777" w:rsidR="00CB6CDB" w:rsidRPr="00CB6CDB" w:rsidRDefault="00CB6CDB" w:rsidP="008724AA">
            <w:pPr>
              <w:spacing w:line="360" w:lineRule="auto"/>
              <w:ind w:firstLine="0"/>
              <w:rPr>
                <w:rFonts w:cs="Times New Roman"/>
                <w:b/>
                <w:bCs/>
                <w:color w:val="auto"/>
                <w:szCs w:val="24"/>
                <w:lang w:val="en-US" w:eastAsia="en-US"/>
              </w:rPr>
            </w:pPr>
            <w:r w:rsidRPr="00CB6CDB">
              <w:rPr>
                <w:rFonts w:cs="Times New Roman"/>
                <w:b/>
                <w:bCs/>
                <w:color w:val="auto"/>
                <w:szCs w:val="24"/>
                <w:lang w:val="en-US" w:eastAsia="en-US"/>
              </w:rPr>
              <w:t>4.19</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7F4DC3" w14:textId="77777777" w:rsidR="00CB6CDB" w:rsidRPr="00CB6CDB" w:rsidRDefault="00CB6CDB" w:rsidP="008724AA">
            <w:pPr>
              <w:spacing w:line="360" w:lineRule="auto"/>
              <w:ind w:firstLine="0"/>
              <w:rPr>
                <w:rFonts w:cs="Times New Roman"/>
                <w:b/>
                <w:bCs/>
                <w:color w:val="auto"/>
                <w:szCs w:val="24"/>
                <w:lang w:val="en-US" w:eastAsia="en-US"/>
              </w:rPr>
            </w:pPr>
            <w:r w:rsidRPr="00CB6CDB">
              <w:rPr>
                <w:rFonts w:cs="Times New Roman"/>
                <w:b/>
                <w:bCs/>
                <w:color w:val="auto"/>
                <w:szCs w:val="24"/>
                <w:lang w:val="en-US" w:eastAsia="en-US"/>
              </w:rPr>
              <w:t>.315</w:t>
            </w:r>
          </w:p>
        </w:tc>
      </w:tr>
    </w:tbl>
    <w:p w14:paraId="70491CF4" w14:textId="72EF9CCD" w:rsidR="00CB6CDB" w:rsidRPr="00CB6CDB" w:rsidRDefault="00CB6CDB" w:rsidP="008724AA">
      <w:pPr>
        <w:shd w:val="clear" w:color="auto" w:fill="FFFFFF"/>
        <w:spacing w:before="100" w:beforeAutospacing="1" w:after="255" w:afterAutospacing="1" w:line="360" w:lineRule="auto"/>
        <w:rPr>
          <w:rFonts w:cs="Times New Roman"/>
          <w:color w:val="auto"/>
          <w:szCs w:val="24"/>
        </w:rPr>
      </w:pPr>
      <w:r w:rsidRPr="00CB6CDB">
        <w:rPr>
          <w:rFonts w:cs="Times New Roman"/>
          <w:color w:val="auto"/>
          <w:szCs w:val="24"/>
        </w:rPr>
        <w:t>The table above, label</w:t>
      </w:r>
      <w:r w:rsidR="00525872">
        <w:rPr>
          <w:rFonts w:cs="Times New Roman"/>
          <w:color w:val="auto"/>
          <w:szCs w:val="24"/>
        </w:rPr>
        <w:t xml:space="preserve">led as Table </w:t>
      </w:r>
      <w:r w:rsidRPr="00CB6CDB">
        <w:rPr>
          <w:rFonts w:cs="Times New Roman"/>
          <w:color w:val="auto"/>
          <w:szCs w:val="24"/>
        </w:rPr>
        <w:t xml:space="preserve">5, displays the highest average score of 4.87. This number indicates that most of the participants strongly agreed that sub-committees possess sufficient abilities and expertise to </w:t>
      </w:r>
      <w:proofErr w:type="spellStart"/>
      <w:r w:rsidRPr="00CB6CDB">
        <w:rPr>
          <w:rFonts w:cs="Times New Roman"/>
          <w:color w:val="auto"/>
          <w:szCs w:val="24"/>
        </w:rPr>
        <w:t>fulfill</w:t>
      </w:r>
      <w:proofErr w:type="spellEnd"/>
      <w:r w:rsidRPr="00CB6CDB">
        <w:rPr>
          <w:rFonts w:cs="Times New Roman"/>
          <w:color w:val="auto"/>
          <w:szCs w:val="24"/>
        </w:rPr>
        <w:t xml:space="preserve"> their work requirements. The discovery aligns with the observations made by </w:t>
      </w:r>
      <w:r w:rsidR="004D3ED2">
        <w:rPr>
          <w:rFonts w:cs="Times New Roman"/>
          <w:color w:val="auto"/>
          <w:szCs w:val="24"/>
        </w:rPr>
        <w:fldChar w:fldCharType="begin" w:fldLock="1"/>
      </w:r>
      <w:r w:rsidR="004D3ED2">
        <w:rPr>
          <w:rFonts w:cs="Times New Roman"/>
          <w:color w:val="auto"/>
          <w:szCs w:val="24"/>
        </w:rPr>
        <w:instrText>ADDIN CSL_CITATION {"citationItems":[{"id":"ITEM-1","itemData":{"DOI":"10.1007/s10551-017-3587-2","ISSN":"15730697","abstract":"The last decade has witnessed the emergence of a paradox perspective on corporate sustainability. By explicitly acknowledging tensions between different desirable, yet interdependent and conflicting sustainability objectives, a paradox perspective enables decision makers to achieve competing sustainability objectives simultaneously and creates leeway for superior business contributions to sustainable development. In stark contrast to the business case logic, a paradox perspective does not establish emphasize business considerations over concerns for environmental protection and social well-being at the societal level. In order to contribute to the consolidation of this emergent field of research, we offer a definition of the paradox perspective on corporate sustainability and a framework to delineate its descriptive, instrumental, and normative aspects. This framework clarifies the paradox perspective’s contents and its implications for research and practice. We use the framework to map the contributions to this thematic symposium on paradoxes in sustainability and to propose questions for future research.","author":[{"dropping-particle":"","family":"Hahn","given":"Tobias","non-dropping-particle":"","parse-names":false,"suffix":""},{"dropping-particle":"","family":"Figge","given":"Frank","non-dropping-particle":"","parse-names":false,"suffix":""},{"dropping-particle":"","family":"Pinkse","given":"Jonatan","non-dropping-particle":"","parse-names":false,"suffix":""},{"dropping-particle":"","family":"Preuss","given":"Lutz","non-dropping-particle":"","parse-names":false,"suffix":""}],"container-title":"Journal of Business Ethics","id":"ITEM-1","issue":"2","issued":{"date-parts":[["2018"]]},"page":"235-248","publisher":"Springer Netherlands","title":"A Paradox Perspective on Corporate Sustainability: Descriptive, Instrumental, and Normative Aspects","type":"article-journal","volume":"148"},"uris":["http://www.mendeley.com/documents/?uuid=b4aaf7bd-743f-4550-9d1e-1cac8a7d808b"]}],"mendeley":{"formattedCitation":"(Hahn et al., 2018)","plainTextFormattedCitation":"(Hahn et al., 2018)","previouslyFormattedCitation":"(Hahn et al., 2018)"},"properties":{"noteIndex":0},"schema":"https://github.com/citation-style-language/schema/raw/master/csl-citation.json"}</w:instrText>
      </w:r>
      <w:r w:rsidR="004D3ED2">
        <w:rPr>
          <w:rFonts w:cs="Times New Roman"/>
          <w:color w:val="auto"/>
          <w:szCs w:val="24"/>
        </w:rPr>
        <w:fldChar w:fldCharType="separate"/>
      </w:r>
      <w:r w:rsidR="004D3ED2" w:rsidRPr="004D3ED2">
        <w:rPr>
          <w:rFonts w:cs="Times New Roman"/>
          <w:noProof/>
          <w:color w:val="auto"/>
          <w:szCs w:val="24"/>
        </w:rPr>
        <w:t>(Hahn et al., 2018)</w:t>
      </w:r>
      <w:r w:rsidR="004D3ED2">
        <w:rPr>
          <w:rFonts w:cs="Times New Roman"/>
          <w:color w:val="auto"/>
          <w:szCs w:val="24"/>
        </w:rPr>
        <w:fldChar w:fldCharType="end"/>
      </w:r>
      <w:r w:rsidRPr="00CB6CDB">
        <w:rPr>
          <w:rFonts w:cs="Times New Roman"/>
          <w:color w:val="auto"/>
          <w:szCs w:val="24"/>
        </w:rPr>
        <w:t>, who found that due to the strict regulations in the electricity supply industry, the manage</w:t>
      </w:r>
      <w:r w:rsidR="003B131C">
        <w:rPr>
          <w:rFonts w:cs="Times New Roman"/>
          <w:color w:val="auto"/>
          <w:szCs w:val="24"/>
        </w:rPr>
        <w:t xml:space="preserve">   </w:t>
      </w:r>
      <w:proofErr w:type="spellStart"/>
      <w:r w:rsidRPr="00CB6CDB">
        <w:rPr>
          <w:rFonts w:cs="Times New Roman"/>
          <w:color w:val="auto"/>
          <w:szCs w:val="24"/>
        </w:rPr>
        <w:t>ment</w:t>
      </w:r>
      <w:proofErr w:type="spellEnd"/>
      <w:r w:rsidRPr="00CB6CDB">
        <w:rPr>
          <w:rFonts w:cs="Times New Roman"/>
          <w:color w:val="auto"/>
          <w:szCs w:val="24"/>
        </w:rPr>
        <w:t xml:space="preserve"> and boards of organizations in this sector tend to attract individuals with a comprehensive understanding of regulatory frameworks, compliance standards, and legal obligations. The finding was supported by key informant interviews, and one of the interviewees emphasized that:</w:t>
      </w:r>
    </w:p>
    <w:p w14:paraId="3FE8AFA8" w14:textId="77777777" w:rsidR="00CB6CDB" w:rsidRPr="00CB6CDB" w:rsidRDefault="00CB6CDB" w:rsidP="008724AA">
      <w:pPr>
        <w:shd w:val="clear" w:color="auto" w:fill="FFFFFF"/>
        <w:spacing w:before="100" w:beforeAutospacing="1" w:after="255" w:afterAutospacing="1" w:line="360" w:lineRule="auto"/>
        <w:ind w:left="720" w:firstLine="0"/>
        <w:rPr>
          <w:rFonts w:cs="Times New Roman"/>
          <w:i/>
          <w:iCs/>
          <w:color w:val="auto"/>
          <w:szCs w:val="24"/>
        </w:rPr>
      </w:pPr>
      <w:r w:rsidRPr="00CB6CDB">
        <w:rPr>
          <w:rFonts w:cs="Times New Roman"/>
          <w:i/>
          <w:iCs/>
          <w:color w:val="auto"/>
          <w:szCs w:val="24"/>
        </w:rPr>
        <w:t>“…the Board of Directors of ZESA has the responsibility of establishing robust internal controls and risk management procedures to ensure the organization works with optimal efficiency and effectiveness. This encompasses routine audits, financial reporting, and risk assessments aimed at identifying and mitigating potential hazards. It is crucial for the members of the sub-committees to possess expertise and experience in their respective sectors in order to effectively carry out their responsibilities”.</w:t>
      </w:r>
    </w:p>
    <w:p w14:paraId="5CA792FA" w14:textId="77777777" w:rsidR="00525872" w:rsidRDefault="00CB6CDB" w:rsidP="008724AA">
      <w:pPr>
        <w:shd w:val="clear" w:color="auto" w:fill="FFFFFF"/>
        <w:spacing w:line="360" w:lineRule="auto"/>
        <w:rPr>
          <w:rFonts w:cs="Times New Roman"/>
          <w:color w:val="auto"/>
          <w:szCs w:val="24"/>
        </w:rPr>
      </w:pPr>
      <w:r w:rsidRPr="00CB6CDB">
        <w:rPr>
          <w:rFonts w:cs="Times New Roman"/>
          <w:color w:val="auto"/>
          <w:szCs w:val="24"/>
        </w:rPr>
        <w:t>More</w:t>
      </w:r>
      <w:r w:rsidR="00525872">
        <w:rPr>
          <w:rFonts w:cs="Times New Roman"/>
          <w:color w:val="auto"/>
          <w:szCs w:val="24"/>
        </w:rPr>
        <w:t xml:space="preserve">over, the data shown in Table </w:t>
      </w:r>
      <w:r w:rsidRPr="00CB6CDB">
        <w:rPr>
          <w:rFonts w:cs="Times New Roman"/>
          <w:color w:val="auto"/>
          <w:szCs w:val="24"/>
        </w:rPr>
        <w:t xml:space="preserve">5 indicates that the respondents expressed a neutral stance (mean score of 3.19) on the availability of adequate resources for sub-committees to carry out their responsibilities. In addition, the average score was 4.19, with a </w:t>
      </w:r>
      <w:r w:rsidRPr="00CB6CDB">
        <w:rPr>
          <w:rFonts w:cs="Times New Roman"/>
          <w:color w:val="auto"/>
          <w:szCs w:val="24"/>
        </w:rPr>
        <w:lastRenderedPageBreak/>
        <w:t>standard deviation of 0.315. The respondents' total mean score of 4.19 indicates a general consensus on the five conceptions that were formulated to assess various facets of successful good corporate governance at ZESA. The study participants' replies to the five assertions show a low standard deviation (SD) of 0.315, indicating that their responses do not differ considerably from the overall mean of 4.19 (agree). Hence, the standard deviation indicates that the replies given for the five statements were relatively hom</w:t>
      </w:r>
      <w:r w:rsidR="00525872">
        <w:rPr>
          <w:rFonts w:cs="Times New Roman"/>
          <w:color w:val="auto"/>
          <w:szCs w:val="24"/>
        </w:rPr>
        <w:t xml:space="preserve">ogeneous or closely clustered. </w:t>
      </w:r>
    </w:p>
    <w:p w14:paraId="23BE5D95" w14:textId="77777777" w:rsidR="00CB6CDB" w:rsidRPr="00CB6CDB" w:rsidRDefault="00CB6CDB" w:rsidP="008724AA">
      <w:pPr>
        <w:shd w:val="clear" w:color="auto" w:fill="FFFFFF"/>
        <w:spacing w:line="360" w:lineRule="auto"/>
        <w:rPr>
          <w:rFonts w:cs="Times New Roman"/>
          <w:color w:val="auto"/>
          <w:szCs w:val="24"/>
          <w:lang w:val="en-US"/>
        </w:rPr>
      </w:pPr>
      <w:r w:rsidRPr="00CB6CDB">
        <w:rPr>
          <w:rFonts w:cs="Times New Roman"/>
          <w:color w:val="auto"/>
          <w:szCs w:val="24"/>
        </w:rPr>
        <w:t xml:space="preserve">The in-depth interviews confirmed these findings by highlighting crucial markers that demonstrate strong corporate governance processes at ZESA. </w:t>
      </w:r>
      <w:r w:rsidRPr="00CB6CDB">
        <w:rPr>
          <w:rFonts w:cs="Times New Roman"/>
          <w:color w:val="auto"/>
          <w:szCs w:val="24"/>
          <w:lang w:val="en-GB"/>
        </w:rPr>
        <w:t>In-depth qualitative analysis of frequently mentioned words, Text Search of the frequent word was carried out</w:t>
      </w:r>
      <w:r w:rsidRPr="00CB6CDB">
        <w:rPr>
          <w:rFonts w:cs="Times New Roman"/>
          <w:color w:val="auto"/>
          <w:szCs w:val="24"/>
          <w:lang w:val="en-US"/>
        </w:rPr>
        <w:t xml:space="preserve"> us</w:t>
      </w:r>
      <w:r w:rsidR="00525872">
        <w:rPr>
          <w:rFonts w:cs="Times New Roman"/>
          <w:color w:val="auto"/>
          <w:szCs w:val="24"/>
          <w:lang w:val="en-US"/>
        </w:rPr>
        <w:t xml:space="preserve">ing NVivo software and Figure </w:t>
      </w:r>
      <w:r w:rsidRPr="00CB6CDB">
        <w:rPr>
          <w:rFonts w:cs="Times New Roman"/>
          <w:color w:val="auto"/>
          <w:szCs w:val="24"/>
          <w:lang w:val="en-US"/>
        </w:rPr>
        <w:t xml:space="preserve">6 illustrates the most frequently mentioned indicators. </w:t>
      </w:r>
    </w:p>
    <w:p w14:paraId="5918F205" w14:textId="77777777" w:rsidR="00CB6CDB" w:rsidRPr="00CB6CDB" w:rsidRDefault="00CB6CDB" w:rsidP="008724AA">
      <w:pPr>
        <w:shd w:val="clear" w:color="auto" w:fill="FFFFFF"/>
        <w:spacing w:line="360" w:lineRule="auto"/>
        <w:rPr>
          <w:rFonts w:cs="Times New Roman"/>
          <w:color w:val="auto"/>
          <w:szCs w:val="24"/>
          <w:lang w:val="en-GB"/>
        </w:rPr>
      </w:pPr>
      <w:r w:rsidRPr="00CB6CDB">
        <w:rPr>
          <w:rFonts w:cs="Times New Roman"/>
          <w:noProof/>
          <w:color w:val="auto"/>
          <w:szCs w:val="24"/>
          <w:lang w:val="en-US" w:eastAsia="en-US"/>
        </w:rPr>
        <w:drawing>
          <wp:inline distT="0" distB="0" distL="0" distR="0" wp14:anchorId="05CA6332" wp14:editId="03180050">
            <wp:extent cx="4039985" cy="2383439"/>
            <wp:effectExtent l="19050" t="19050" r="17780" b="171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1025" name=""/>
                    <pic:cNvPicPr/>
                  </pic:nvPicPr>
                  <pic:blipFill>
                    <a:blip r:embed="rId13"/>
                    <a:stretch>
                      <a:fillRect/>
                    </a:stretch>
                  </pic:blipFill>
                  <pic:spPr>
                    <a:xfrm>
                      <a:off x="0" y="0"/>
                      <a:ext cx="4037712" cy="2382098"/>
                    </a:xfrm>
                    <a:prstGeom prst="rect">
                      <a:avLst/>
                    </a:prstGeom>
                    <a:ln>
                      <a:solidFill>
                        <a:sysClr val="windowText" lastClr="000000"/>
                      </a:solidFill>
                    </a:ln>
                  </pic:spPr>
                </pic:pic>
              </a:graphicData>
            </a:graphic>
          </wp:inline>
        </w:drawing>
      </w:r>
    </w:p>
    <w:p w14:paraId="2D09A24D" w14:textId="77777777" w:rsidR="00CB6CDB" w:rsidRPr="00CB6CDB" w:rsidRDefault="00B2221B" w:rsidP="008724AA">
      <w:pPr>
        <w:shd w:val="clear" w:color="auto" w:fill="FFFFFF"/>
        <w:spacing w:line="360" w:lineRule="auto"/>
        <w:rPr>
          <w:rFonts w:cs="Times New Roman"/>
          <w:b/>
          <w:bCs/>
          <w:color w:val="auto"/>
          <w:szCs w:val="24"/>
          <w:lang w:val="en-GB"/>
        </w:rPr>
      </w:pPr>
      <w:r>
        <w:rPr>
          <w:rFonts w:cs="Times New Roman"/>
          <w:b/>
          <w:bCs/>
          <w:color w:val="auto"/>
          <w:szCs w:val="24"/>
          <w:lang w:val="en-GB"/>
        </w:rPr>
        <w:t xml:space="preserve">Figure </w:t>
      </w:r>
      <w:r w:rsidR="00CB6CDB" w:rsidRPr="00CB6CDB">
        <w:rPr>
          <w:rFonts w:cs="Times New Roman"/>
          <w:b/>
          <w:bCs/>
          <w:color w:val="auto"/>
          <w:szCs w:val="24"/>
          <w:lang w:val="en-GB"/>
        </w:rPr>
        <w:t>6: Respondent’s word cloud</w:t>
      </w:r>
    </w:p>
    <w:p w14:paraId="23D33054" w14:textId="77777777" w:rsidR="00D042CB" w:rsidRDefault="00D042CB" w:rsidP="008724AA">
      <w:pPr>
        <w:shd w:val="clear" w:color="auto" w:fill="FFFFFF"/>
        <w:spacing w:line="360" w:lineRule="auto"/>
        <w:rPr>
          <w:rFonts w:cs="Times New Roman"/>
          <w:color w:val="auto"/>
          <w:szCs w:val="24"/>
        </w:rPr>
      </w:pPr>
    </w:p>
    <w:p w14:paraId="65A440CF" w14:textId="76B89FB1" w:rsidR="00CB6CDB" w:rsidRPr="00CB6CDB" w:rsidRDefault="00B2221B" w:rsidP="008724AA">
      <w:pPr>
        <w:shd w:val="clear" w:color="auto" w:fill="FFFFFF"/>
        <w:spacing w:line="360" w:lineRule="auto"/>
        <w:rPr>
          <w:rFonts w:cs="Times New Roman"/>
          <w:color w:val="auto"/>
          <w:szCs w:val="24"/>
        </w:rPr>
      </w:pPr>
      <w:r>
        <w:rPr>
          <w:rFonts w:cs="Times New Roman"/>
          <w:color w:val="auto"/>
          <w:szCs w:val="24"/>
        </w:rPr>
        <w:t xml:space="preserve">An examination of Figure </w:t>
      </w:r>
      <w:r w:rsidR="00CB6CDB" w:rsidRPr="00CB6CDB">
        <w:rPr>
          <w:rFonts w:cs="Times New Roman"/>
          <w:color w:val="auto"/>
          <w:szCs w:val="24"/>
        </w:rPr>
        <w:t xml:space="preserve">6 above indicates that accountability, engagement, and stakeholders were important topics discussed during the interviews. The signs of excellent corporate governance practice mentioned above align with those identified by other academics, such as </w:t>
      </w:r>
      <w:r w:rsidR="004D3ED2">
        <w:rPr>
          <w:rFonts w:cs="Times New Roman"/>
          <w:color w:val="auto"/>
          <w:szCs w:val="24"/>
        </w:rPr>
        <w:fldChar w:fldCharType="begin" w:fldLock="1"/>
      </w:r>
      <w:r w:rsidR="004D3ED2">
        <w:rPr>
          <w:rFonts w:cs="Times New Roman"/>
          <w:color w:val="auto"/>
          <w:szCs w:val="24"/>
        </w:rPr>
        <w:instrText>ADDIN CSL_CITATION {"citationItems":[{"id":"ITEM-1","itemData":{"abstract":"This chapter explores creating new services through service design. Service innovation requires developing new ways of value co-creation between customers and service organizations to improve human well-being. Service design is essential to service innovation because it brings a service organization's strategy and innovative service ideas to life. This chapter introduces service innovation, examines the challenges of creating new services, and synthesizes different contributions from the interdisciplinary service design field. It then presents the multilevel service design method and describes the service design process through its iterative stages of understanding the customer experience, designing the service offering and prototyping the service experience.","author":[{"dropping-particle":"","family":"Patrício","given":"Lia","non-dropping-particle":"","parse-names":false,"suffix":""},{"dropping-particle":"","family":"Fisk","given":"Raymond P.","non-dropping-particle":"","parse-names":false,"suffix":""}],"container-title":"Serving Customers: Global Services Marketing Perspectives","id":"ITEM-1","issue":"June 2013","issued":{"date-parts":[["2017"]]},"page":"185-207","title":"Chapter 10 Creating new services","type":"article-journal"},"uris":["http://www.mendeley.com/documents/?uuid=7f41f515-09e7-460d-81dd-a6b9869fb92e"]}],"mendeley":{"formattedCitation":"(Patrício &amp; Fisk, 2017)","plainTextFormattedCitation":"(Patrício &amp; Fisk, 2017)","previouslyFormattedCitation":"(Patrício &amp; Fisk, 2017)"},"properties":{"noteIndex":0},"schema":"https://github.com/citation-style-language/schema/raw/master/csl-citation.json"}</w:instrText>
      </w:r>
      <w:r w:rsidR="004D3ED2">
        <w:rPr>
          <w:rFonts w:cs="Times New Roman"/>
          <w:color w:val="auto"/>
          <w:szCs w:val="24"/>
        </w:rPr>
        <w:fldChar w:fldCharType="separate"/>
      </w:r>
      <w:r w:rsidR="004D3ED2" w:rsidRPr="004D3ED2">
        <w:rPr>
          <w:rFonts w:cs="Times New Roman"/>
          <w:noProof/>
          <w:color w:val="auto"/>
          <w:szCs w:val="24"/>
        </w:rPr>
        <w:t>(Patrício &amp; Fisk, 2017)</w:t>
      </w:r>
      <w:r w:rsidR="004D3ED2">
        <w:rPr>
          <w:rFonts w:cs="Times New Roman"/>
          <w:color w:val="auto"/>
          <w:szCs w:val="24"/>
        </w:rPr>
        <w:fldChar w:fldCharType="end"/>
      </w:r>
      <w:r w:rsidR="00CB6CDB" w:rsidRPr="00CB6CDB">
        <w:rPr>
          <w:rFonts w:cs="Times New Roman"/>
          <w:color w:val="auto"/>
          <w:szCs w:val="24"/>
        </w:rPr>
        <w:t xml:space="preserve">, who concluded that accountability and responsibility are crucial indicators of strong corporate governance practice. Accountability, as defined by Greenspan (2020), refers to the concept of individual employees assuming </w:t>
      </w:r>
      <w:r w:rsidR="00CB6CDB" w:rsidRPr="00CB6CDB">
        <w:rPr>
          <w:rFonts w:cs="Times New Roman"/>
          <w:color w:val="auto"/>
          <w:szCs w:val="24"/>
        </w:rPr>
        <w:lastRenderedPageBreak/>
        <w:t>ownership of their acts and being held responsible for their decisions or actions. Accountability, in essence, guarantees that individuals possess an understanding of the repercussions of their actions and are motivated to rectify any errors they commit.</w:t>
      </w:r>
    </w:p>
    <w:p w14:paraId="6957210F" w14:textId="77777777" w:rsid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In order to assess the level of ZESA's adherence to the corporate governance framework, a regression analysis was conducted using the Statistical Package for Social Sciences (SPSS). The findings of this a</w:t>
      </w:r>
      <w:r w:rsidR="00B2221B">
        <w:rPr>
          <w:rFonts w:cs="Times New Roman"/>
          <w:color w:val="auto"/>
          <w:szCs w:val="24"/>
        </w:rPr>
        <w:t xml:space="preserve">nalysis may be found in Table 6 and Table </w:t>
      </w:r>
      <w:r w:rsidRPr="00CB6CDB">
        <w:rPr>
          <w:rFonts w:cs="Times New Roman"/>
          <w:color w:val="auto"/>
          <w:szCs w:val="24"/>
        </w:rPr>
        <w:t>7 below:</w:t>
      </w:r>
    </w:p>
    <w:p w14:paraId="13D464C5" w14:textId="77777777" w:rsidR="00D042CB" w:rsidRPr="00CB6CDB" w:rsidRDefault="00D042CB" w:rsidP="008724AA">
      <w:pPr>
        <w:shd w:val="clear" w:color="auto" w:fill="FFFFFF"/>
        <w:spacing w:line="360" w:lineRule="auto"/>
        <w:rPr>
          <w:rFonts w:cs="Times New Roman"/>
          <w:color w:val="auto"/>
          <w:szCs w:val="24"/>
        </w:rPr>
      </w:pPr>
    </w:p>
    <w:p w14:paraId="4E9C30D0" w14:textId="77777777" w:rsidR="00CB6CDB" w:rsidRPr="00CB6CDB" w:rsidRDefault="00B2221B" w:rsidP="008724AA">
      <w:pPr>
        <w:spacing w:after="200" w:line="360" w:lineRule="auto"/>
        <w:ind w:firstLine="0"/>
        <w:rPr>
          <w:rFonts w:cs="Times New Roman"/>
          <w:b/>
          <w:color w:val="auto"/>
          <w:szCs w:val="24"/>
        </w:rPr>
      </w:pPr>
      <w:r>
        <w:rPr>
          <w:rFonts w:cs="Times New Roman"/>
          <w:b/>
          <w:color w:val="auto"/>
          <w:szCs w:val="24"/>
        </w:rPr>
        <w:t xml:space="preserve">Table </w:t>
      </w:r>
      <w:r w:rsidR="00CB6CDB" w:rsidRPr="00CB6CDB">
        <w:rPr>
          <w:rFonts w:cs="Times New Roman"/>
          <w:b/>
          <w:color w:val="auto"/>
          <w:szCs w:val="24"/>
        </w:rPr>
        <w:t>6: Regression Model summary report</w:t>
      </w:r>
    </w:p>
    <w:tbl>
      <w:tblPr>
        <w:tblW w:w="627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96"/>
        <w:gridCol w:w="1108"/>
        <w:gridCol w:w="1181"/>
        <w:gridCol w:w="1595"/>
        <w:gridCol w:w="1595"/>
      </w:tblGrid>
      <w:tr w:rsidR="00CB6CDB" w:rsidRPr="00CB6CDB" w14:paraId="5B6B1C45" w14:textId="77777777" w:rsidTr="00DB73C9">
        <w:trPr>
          <w:cantSplit/>
          <w:tblHeader/>
        </w:trPr>
        <w:tc>
          <w:tcPr>
            <w:tcW w:w="6275" w:type="dxa"/>
            <w:gridSpan w:val="5"/>
            <w:tcBorders>
              <w:top w:val="nil"/>
              <w:left w:val="nil"/>
              <w:bottom w:val="nil"/>
              <w:right w:val="nil"/>
            </w:tcBorders>
            <w:shd w:val="clear" w:color="auto" w:fill="FFFFFF"/>
            <w:tcMar>
              <w:top w:w="30" w:type="dxa"/>
              <w:left w:w="30" w:type="dxa"/>
              <w:bottom w:w="30" w:type="dxa"/>
              <w:right w:w="30" w:type="dxa"/>
            </w:tcMar>
            <w:vAlign w:val="center"/>
          </w:tcPr>
          <w:p w14:paraId="590978C6"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b/>
                <w:bCs/>
                <w:color w:val="auto"/>
                <w:szCs w:val="24"/>
              </w:rPr>
              <w:t>Model Summary</w:t>
            </w:r>
          </w:p>
        </w:tc>
      </w:tr>
      <w:tr w:rsidR="00CB6CDB" w:rsidRPr="00CB6CDB" w14:paraId="7732FD64" w14:textId="77777777" w:rsidTr="00DB73C9">
        <w:trPr>
          <w:cantSplit/>
          <w:tblHeader/>
        </w:trPr>
        <w:tc>
          <w:tcPr>
            <w:tcW w:w="79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72862D3"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Model</w:t>
            </w:r>
          </w:p>
        </w:tc>
        <w:tc>
          <w:tcPr>
            <w:tcW w:w="110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236417BD"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R</w:t>
            </w:r>
          </w:p>
        </w:tc>
        <w:tc>
          <w:tcPr>
            <w:tcW w:w="118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51EF7464"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R Square</w:t>
            </w:r>
          </w:p>
        </w:tc>
        <w:tc>
          <w:tcPr>
            <w:tcW w:w="159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6A510C26"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Adjusted R Square</w:t>
            </w:r>
          </w:p>
        </w:tc>
        <w:tc>
          <w:tcPr>
            <w:tcW w:w="1595"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24BF641"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Std. Error of the Estimate</w:t>
            </w:r>
          </w:p>
        </w:tc>
      </w:tr>
      <w:tr w:rsidR="00CB6CDB" w:rsidRPr="00CB6CDB" w14:paraId="2663213A" w14:textId="77777777" w:rsidTr="00DB73C9">
        <w:trPr>
          <w:cantSplit/>
          <w:tblHeader/>
        </w:trPr>
        <w:tc>
          <w:tcPr>
            <w:tcW w:w="79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A2FE71A"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1</w:t>
            </w:r>
          </w:p>
        </w:tc>
        <w:tc>
          <w:tcPr>
            <w:tcW w:w="110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14:paraId="1AC1C15D"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.078</w:t>
            </w:r>
            <w:r w:rsidRPr="00CB6CDB">
              <w:rPr>
                <w:rFonts w:eastAsia="Times New Roman" w:cs="Times New Roman"/>
                <w:color w:val="auto"/>
                <w:szCs w:val="24"/>
                <w:vertAlign w:val="superscript"/>
              </w:rPr>
              <w:t>a</w:t>
            </w:r>
          </w:p>
        </w:tc>
        <w:tc>
          <w:tcPr>
            <w:tcW w:w="1181"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14:paraId="1623DC70"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.608</w:t>
            </w:r>
          </w:p>
        </w:tc>
        <w:tc>
          <w:tcPr>
            <w:tcW w:w="1595"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14:paraId="78CC6B62"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.579</w:t>
            </w:r>
          </w:p>
        </w:tc>
        <w:tc>
          <w:tcPr>
            <w:tcW w:w="1595"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14:paraId="55407F5E"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.852</w:t>
            </w:r>
          </w:p>
        </w:tc>
      </w:tr>
      <w:tr w:rsidR="00CB6CDB" w:rsidRPr="00CB6CDB" w14:paraId="12A8D5BF" w14:textId="77777777" w:rsidTr="00DB73C9">
        <w:trPr>
          <w:cantSplit/>
        </w:trPr>
        <w:tc>
          <w:tcPr>
            <w:tcW w:w="6275" w:type="dxa"/>
            <w:gridSpan w:val="5"/>
            <w:tcBorders>
              <w:top w:val="nil"/>
              <w:left w:val="nil"/>
              <w:bottom w:val="nil"/>
              <w:right w:val="nil"/>
            </w:tcBorders>
            <w:shd w:val="clear" w:color="auto" w:fill="FFFFFF"/>
            <w:tcMar>
              <w:top w:w="30" w:type="dxa"/>
              <w:left w:w="30" w:type="dxa"/>
              <w:bottom w:w="30" w:type="dxa"/>
              <w:right w:w="30" w:type="dxa"/>
            </w:tcMar>
          </w:tcPr>
          <w:p w14:paraId="43FE6D03"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i/>
                <w:color w:val="auto"/>
                <w:szCs w:val="24"/>
              </w:rPr>
            </w:pPr>
            <w:r w:rsidRPr="00CB6CDB">
              <w:rPr>
                <w:rFonts w:eastAsia="Times New Roman" w:cs="Times New Roman"/>
                <w:i/>
                <w:color w:val="auto"/>
                <w:szCs w:val="24"/>
              </w:rPr>
              <w:t>a. Predictors: (Constant), To what extent does ZESA comply with the tenets of corporate governance?</w:t>
            </w:r>
          </w:p>
        </w:tc>
      </w:tr>
    </w:tbl>
    <w:p w14:paraId="721CC910"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The independent variable in </w:t>
      </w:r>
      <w:r w:rsidR="00B2221B">
        <w:rPr>
          <w:rFonts w:cs="Times New Roman"/>
          <w:color w:val="auto"/>
          <w:szCs w:val="24"/>
        </w:rPr>
        <w:t xml:space="preserve">this study, as shown in Table </w:t>
      </w:r>
      <w:r w:rsidRPr="00CB6CDB">
        <w:rPr>
          <w:rFonts w:cs="Times New Roman"/>
          <w:color w:val="auto"/>
          <w:szCs w:val="24"/>
        </w:rPr>
        <w:t>6, is the amount to which ZESA adheres to a corporate governance framework. The dependent variable, on the other hand, is the practice of good governance. The regression study specifically examined ZESA's level of adherence to the criteria outlined in the Corporate Governance Framework. Achieving an R-squared value of 0.608 implies that ZESA conforms to the principles of corporate governance to a significant extent, around 60.8%. The correlation coefficient of 0.78 indicates a robust positive linear relationship between the variables. This indicates a correlation between ZESA's operations and corporate governance practices.</w:t>
      </w:r>
    </w:p>
    <w:p w14:paraId="555A725B"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The results align with those of ZEST (2021), who determined that "ZESA exhibits a dedication to corporate governance principles, although there are areas in which the organization can enhance its performance." Regarding this matter, a key source expressed that by consistently improving its corporate governance standards, ZESA can strengthen its responsibility, openness, and overall efficiency as the ma</w:t>
      </w:r>
      <w:r w:rsidR="00B2221B">
        <w:rPr>
          <w:rFonts w:cs="Times New Roman"/>
          <w:color w:val="auto"/>
          <w:szCs w:val="24"/>
        </w:rPr>
        <w:t>in energy supplier in Zimbabwe.</w:t>
      </w:r>
    </w:p>
    <w:p w14:paraId="09E1FD88" w14:textId="77777777" w:rsidR="00CB6CDB" w:rsidRPr="00CB6CDB" w:rsidRDefault="00CB6CDB" w:rsidP="008724AA">
      <w:pPr>
        <w:autoSpaceDE w:val="0"/>
        <w:autoSpaceDN w:val="0"/>
        <w:adjustRightInd w:val="0"/>
        <w:spacing w:line="360" w:lineRule="auto"/>
        <w:rPr>
          <w:rFonts w:eastAsia="Times New Roman" w:cs="Times New Roman"/>
          <w:color w:val="auto"/>
          <w:szCs w:val="24"/>
        </w:rPr>
      </w:pPr>
      <w:r w:rsidRPr="00CB6CDB">
        <w:rPr>
          <w:rFonts w:eastAsia="Times New Roman" w:cs="Times New Roman"/>
          <w:color w:val="auto"/>
          <w:szCs w:val="24"/>
        </w:rPr>
        <w:lastRenderedPageBreak/>
        <w:t>When creating the regression equation, the following regression coefficients we</w:t>
      </w:r>
      <w:r w:rsidR="00B2221B">
        <w:rPr>
          <w:rFonts w:eastAsia="Times New Roman" w:cs="Times New Roman"/>
          <w:color w:val="auto"/>
          <w:szCs w:val="24"/>
        </w:rPr>
        <w:t xml:space="preserve">re obtained as shown in table </w:t>
      </w:r>
      <w:r w:rsidRPr="00CB6CDB">
        <w:rPr>
          <w:rFonts w:eastAsia="Times New Roman" w:cs="Times New Roman"/>
          <w:color w:val="auto"/>
          <w:szCs w:val="24"/>
        </w:rPr>
        <w:t>7 below:</w:t>
      </w:r>
      <w:bookmarkStart w:id="19" w:name="_Toc64187722"/>
    </w:p>
    <w:p w14:paraId="3DC7F02C" w14:textId="77777777" w:rsidR="00CB6CDB" w:rsidRPr="00CB6CDB" w:rsidRDefault="00CB6CDB" w:rsidP="008724AA">
      <w:pPr>
        <w:spacing w:line="360" w:lineRule="auto"/>
        <w:ind w:firstLine="0"/>
        <w:rPr>
          <w:rFonts w:cs="Times New Roman"/>
          <w:b/>
          <w:color w:val="auto"/>
          <w:szCs w:val="24"/>
        </w:rPr>
      </w:pPr>
    </w:p>
    <w:p w14:paraId="3A559071" w14:textId="77777777" w:rsidR="00CB6CDB" w:rsidRPr="00CB6CDB" w:rsidRDefault="00CB6CDB" w:rsidP="008724AA">
      <w:pPr>
        <w:spacing w:line="360" w:lineRule="auto"/>
        <w:ind w:firstLine="0"/>
        <w:rPr>
          <w:rFonts w:cs="Times New Roman"/>
          <w:b/>
          <w:color w:val="auto"/>
          <w:szCs w:val="24"/>
        </w:rPr>
      </w:pPr>
      <w:r w:rsidRPr="00CB6CDB">
        <w:rPr>
          <w:rFonts w:cs="Times New Roman"/>
          <w:b/>
          <w:color w:val="auto"/>
          <w:szCs w:val="24"/>
        </w:rPr>
        <w:t xml:space="preserve">Table </w:t>
      </w:r>
      <w:bookmarkEnd w:id="19"/>
      <w:r w:rsidRPr="00CB6CDB">
        <w:rPr>
          <w:rFonts w:cs="Times New Roman"/>
          <w:b/>
          <w:color w:val="auto"/>
          <w:szCs w:val="24"/>
        </w:rPr>
        <w:t xml:space="preserve">7: Regression coefficients </w:t>
      </w:r>
    </w:p>
    <w:tbl>
      <w:tblPr>
        <w:tblW w:w="890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23"/>
        <w:gridCol w:w="2423"/>
        <w:gridCol w:w="1319"/>
        <w:gridCol w:w="1323"/>
        <w:gridCol w:w="1452"/>
        <w:gridCol w:w="1012"/>
        <w:gridCol w:w="657"/>
      </w:tblGrid>
      <w:tr w:rsidR="00CB6CDB" w:rsidRPr="00CB6CDB" w14:paraId="47266BE8" w14:textId="77777777" w:rsidTr="00D042CB">
        <w:trPr>
          <w:cantSplit/>
          <w:trHeight w:val="161"/>
          <w:tblHeader/>
        </w:trPr>
        <w:tc>
          <w:tcPr>
            <w:tcW w:w="8909" w:type="dxa"/>
            <w:gridSpan w:val="7"/>
            <w:shd w:val="clear" w:color="auto" w:fill="FFFFFF"/>
            <w:tcMar>
              <w:top w:w="30" w:type="dxa"/>
              <w:left w:w="30" w:type="dxa"/>
              <w:bottom w:w="30" w:type="dxa"/>
              <w:right w:w="30" w:type="dxa"/>
            </w:tcMar>
            <w:vAlign w:val="center"/>
          </w:tcPr>
          <w:p w14:paraId="7F930B53"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proofErr w:type="spellStart"/>
            <w:r w:rsidRPr="00CB6CDB">
              <w:rPr>
                <w:rFonts w:eastAsia="Times New Roman" w:cs="Times New Roman"/>
                <w:b/>
                <w:bCs/>
                <w:color w:val="auto"/>
                <w:szCs w:val="24"/>
              </w:rPr>
              <w:t>Coefficients</w:t>
            </w:r>
            <w:r w:rsidRPr="00CB6CDB">
              <w:rPr>
                <w:rFonts w:eastAsia="Times New Roman" w:cs="Times New Roman"/>
                <w:b/>
                <w:bCs/>
                <w:color w:val="auto"/>
                <w:szCs w:val="24"/>
                <w:vertAlign w:val="superscript"/>
              </w:rPr>
              <w:t>a</w:t>
            </w:r>
            <w:proofErr w:type="spellEnd"/>
          </w:p>
        </w:tc>
      </w:tr>
      <w:tr w:rsidR="00CB6CDB" w:rsidRPr="00CB6CDB" w14:paraId="620093EF" w14:textId="77777777" w:rsidTr="00D042CB">
        <w:trPr>
          <w:cantSplit/>
          <w:trHeight w:val="327"/>
          <w:tblHeader/>
        </w:trPr>
        <w:tc>
          <w:tcPr>
            <w:tcW w:w="3146" w:type="dxa"/>
            <w:gridSpan w:val="2"/>
            <w:vMerge w:val="restart"/>
            <w:shd w:val="clear" w:color="auto" w:fill="FFFFFF"/>
            <w:tcMar>
              <w:top w:w="30" w:type="dxa"/>
              <w:left w:w="30" w:type="dxa"/>
              <w:bottom w:w="30" w:type="dxa"/>
              <w:right w:w="30" w:type="dxa"/>
            </w:tcMar>
            <w:vAlign w:val="bottom"/>
          </w:tcPr>
          <w:p w14:paraId="28068DC2"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Model</w:t>
            </w:r>
          </w:p>
        </w:tc>
        <w:tc>
          <w:tcPr>
            <w:tcW w:w="2642" w:type="dxa"/>
            <w:gridSpan w:val="2"/>
            <w:shd w:val="clear" w:color="auto" w:fill="FFFFFF"/>
            <w:tcMar>
              <w:top w:w="30" w:type="dxa"/>
              <w:left w:w="30" w:type="dxa"/>
              <w:bottom w:w="30" w:type="dxa"/>
              <w:right w:w="30" w:type="dxa"/>
            </w:tcMar>
            <w:vAlign w:val="bottom"/>
          </w:tcPr>
          <w:p w14:paraId="1E79033A"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Unstandardized Coefficients</w:t>
            </w:r>
          </w:p>
        </w:tc>
        <w:tc>
          <w:tcPr>
            <w:tcW w:w="1452" w:type="dxa"/>
            <w:shd w:val="clear" w:color="auto" w:fill="FFFFFF"/>
            <w:tcMar>
              <w:top w:w="30" w:type="dxa"/>
              <w:left w:w="30" w:type="dxa"/>
              <w:bottom w:w="30" w:type="dxa"/>
              <w:right w:w="30" w:type="dxa"/>
            </w:tcMar>
            <w:vAlign w:val="bottom"/>
          </w:tcPr>
          <w:p w14:paraId="237D80F1"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Standardized Coefficients</w:t>
            </w:r>
          </w:p>
        </w:tc>
        <w:tc>
          <w:tcPr>
            <w:tcW w:w="1012" w:type="dxa"/>
            <w:vMerge w:val="restart"/>
            <w:shd w:val="clear" w:color="auto" w:fill="FFFFFF"/>
            <w:tcMar>
              <w:top w:w="30" w:type="dxa"/>
              <w:left w:w="30" w:type="dxa"/>
              <w:bottom w:w="30" w:type="dxa"/>
              <w:right w:w="30" w:type="dxa"/>
            </w:tcMar>
            <w:vAlign w:val="bottom"/>
          </w:tcPr>
          <w:p w14:paraId="20C87239"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t</w:t>
            </w:r>
          </w:p>
        </w:tc>
        <w:tc>
          <w:tcPr>
            <w:tcW w:w="657" w:type="dxa"/>
            <w:vMerge w:val="restart"/>
            <w:shd w:val="clear" w:color="auto" w:fill="FFFFFF"/>
            <w:tcMar>
              <w:top w:w="30" w:type="dxa"/>
              <w:left w:w="30" w:type="dxa"/>
              <w:bottom w:w="30" w:type="dxa"/>
              <w:right w:w="30" w:type="dxa"/>
            </w:tcMar>
            <w:vAlign w:val="bottom"/>
          </w:tcPr>
          <w:p w14:paraId="44D2B1EC"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Sig.</w:t>
            </w:r>
          </w:p>
        </w:tc>
      </w:tr>
      <w:tr w:rsidR="00CB6CDB" w:rsidRPr="00CB6CDB" w14:paraId="7CF1E3B2" w14:textId="77777777" w:rsidTr="00D042CB">
        <w:trPr>
          <w:cantSplit/>
          <w:trHeight w:val="41"/>
          <w:tblHeader/>
        </w:trPr>
        <w:tc>
          <w:tcPr>
            <w:tcW w:w="3146" w:type="dxa"/>
            <w:gridSpan w:val="2"/>
            <w:vMerge/>
            <w:shd w:val="clear" w:color="auto" w:fill="FFFFFF"/>
            <w:tcMar>
              <w:top w:w="30" w:type="dxa"/>
              <w:left w:w="30" w:type="dxa"/>
              <w:bottom w:w="30" w:type="dxa"/>
              <w:right w:w="30" w:type="dxa"/>
            </w:tcMar>
            <w:vAlign w:val="bottom"/>
          </w:tcPr>
          <w:p w14:paraId="4B381290"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p>
        </w:tc>
        <w:tc>
          <w:tcPr>
            <w:tcW w:w="1319" w:type="dxa"/>
            <w:shd w:val="clear" w:color="auto" w:fill="FFFFFF"/>
            <w:tcMar>
              <w:top w:w="30" w:type="dxa"/>
              <w:left w:w="30" w:type="dxa"/>
              <w:bottom w:w="30" w:type="dxa"/>
              <w:right w:w="30" w:type="dxa"/>
            </w:tcMar>
            <w:vAlign w:val="bottom"/>
          </w:tcPr>
          <w:p w14:paraId="412CF6E1"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B</w:t>
            </w:r>
          </w:p>
        </w:tc>
        <w:tc>
          <w:tcPr>
            <w:tcW w:w="1323" w:type="dxa"/>
            <w:shd w:val="clear" w:color="auto" w:fill="FFFFFF"/>
            <w:tcMar>
              <w:top w:w="30" w:type="dxa"/>
              <w:left w:w="30" w:type="dxa"/>
              <w:bottom w:w="30" w:type="dxa"/>
              <w:right w:w="30" w:type="dxa"/>
            </w:tcMar>
            <w:vAlign w:val="bottom"/>
          </w:tcPr>
          <w:p w14:paraId="7507E409"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Std. Error</w:t>
            </w:r>
          </w:p>
        </w:tc>
        <w:tc>
          <w:tcPr>
            <w:tcW w:w="1452" w:type="dxa"/>
            <w:shd w:val="clear" w:color="auto" w:fill="FFFFFF"/>
            <w:tcMar>
              <w:top w:w="30" w:type="dxa"/>
              <w:left w:w="30" w:type="dxa"/>
              <w:bottom w:w="30" w:type="dxa"/>
              <w:right w:w="30" w:type="dxa"/>
            </w:tcMar>
            <w:vAlign w:val="bottom"/>
          </w:tcPr>
          <w:p w14:paraId="4AC4265A"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Beta</w:t>
            </w:r>
          </w:p>
        </w:tc>
        <w:tc>
          <w:tcPr>
            <w:tcW w:w="1012" w:type="dxa"/>
            <w:vMerge/>
            <w:shd w:val="clear" w:color="auto" w:fill="FFFFFF"/>
            <w:tcMar>
              <w:top w:w="30" w:type="dxa"/>
              <w:left w:w="30" w:type="dxa"/>
              <w:bottom w:w="30" w:type="dxa"/>
              <w:right w:w="30" w:type="dxa"/>
            </w:tcMar>
            <w:vAlign w:val="bottom"/>
          </w:tcPr>
          <w:p w14:paraId="620038EA"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p>
        </w:tc>
        <w:tc>
          <w:tcPr>
            <w:tcW w:w="657" w:type="dxa"/>
            <w:vMerge/>
            <w:shd w:val="clear" w:color="auto" w:fill="FFFFFF"/>
            <w:tcMar>
              <w:top w:w="30" w:type="dxa"/>
              <w:left w:w="30" w:type="dxa"/>
              <w:bottom w:w="30" w:type="dxa"/>
              <w:right w:w="30" w:type="dxa"/>
            </w:tcMar>
            <w:vAlign w:val="bottom"/>
          </w:tcPr>
          <w:p w14:paraId="3D944A44"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p>
        </w:tc>
      </w:tr>
      <w:tr w:rsidR="00CB6CDB" w:rsidRPr="00CB6CDB" w14:paraId="7846E3B2" w14:textId="77777777" w:rsidTr="00D042CB">
        <w:trPr>
          <w:cantSplit/>
          <w:trHeight w:val="165"/>
          <w:tblHeader/>
        </w:trPr>
        <w:tc>
          <w:tcPr>
            <w:tcW w:w="723" w:type="dxa"/>
            <w:vMerge w:val="restart"/>
            <w:shd w:val="clear" w:color="auto" w:fill="FFFFFF"/>
            <w:tcMar>
              <w:top w:w="30" w:type="dxa"/>
              <w:left w:w="30" w:type="dxa"/>
              <w:bottom w:w="30" w:type="dxa"/>
              <w:right w:w="30" w:type="dxa"/>
            </w:tcMar>
          </w:tcPr>
          <w:p w14:paraId="66B9316D" w14:textId="77777777" w:rsidR="00CB6CDB" w:rsidRPr="00CB6CDB" w:rsidRDefault="00CB6CDB" w:rsidP="008724AA">
            <w:pPr>
              <w:widowControl w:val="0"/>
              <w:autoSpaceDE w:val="0"/>
              <w:autoSpaceDN w:val="0"/>
              <w:adjustRightInd w:val="0"/>
              <w:spacing w:line="360" w:lineRule="auto"/>
              <w:ind w:firstLine="0"/>
              <w:jc w:val="left"/>
              <w:rPr>
                <w:rFonts w:eastAsia="Times New Roman" w:cs="Times New Roman"/>
                <w:color w:val="auto"/>
                <w:szCs w:val="24"/>
              </w:rPr>
            </w:pPr>
            <w:r w:rsidRPr="00CB6CDB">
              <w:rPr>
                <w:rFonts w:eastAsia="Times New Roman" w:cs="Times New Roman"/>
                <w:color w:val="auto"/>
                <w:szCs w:val="24"/>
              </w:rPr>
              <w:t>1</w:t>
            </w:r>
          </w:p>
        </w:tc>
        <w:tc>
          <w:tcPr>
            <w:tcW w:w="2423" w:type="dxa"/>
            <w:shd w:val="clear" w:color="auto" w:fill="FFFFFF"/>
            <w:tcMar>
              <w:top w:w="30" w:type="dxa"/>
              <w:left w:w="30" w:type="dxa"/>
              <w:bottom w:w="30" w:type="dxa"/>
              <w:right w:w="30" w:type="dxa"/>
            </w:tcMar>
          </w:tcPr>
          <w:p w14:paraId="69AA15E9" w14:textId="77777777" w:rsidR="00CB6CDB" w:rsidRPr="00CB6CDB" w:rsidRDefault="00CB6CDB" w:rsidP="008724AA">
            <w:pPr>
              <w:widowControl w:val="0"/>
              <w:autoSpaceDE w:val="0"/>
              <w:autoSpaceDN w:val="0"/>
              <w:adjustRightInd w:val="0"/>
              <w:spacing w:line="360" w:lineRule="auto"/>
              <w:ind w:firstLine="0"/>
              <w:jc w:val="left"/>
              <w:rPr>
                <w:rFonts w:eastAsia="Times New Roman" w:cs="Times New Roman"/>
                <w:color w:val="auto"/>
                <w:szCs w:val="24"/>
              </w:rPr>
            </w:pPr>
            <w:r w:rsidRPr="00CB6CDB">
              <w:rPr>
                <w:rFonts w:eastAsia="Times New Roman" w:cs="Times New Roman"/>
                <w:color w:val="auto"/>
                <w:szCs w:val="24"/>
              </w:rPr>
              <w:t>(Constant)</w:t>
            </w:r>
          </w:p>
        </w:tc>
        <w:tc>
          <w:tcPr>
            <w:tcW w:w="1319" w:type="dxa"/>
            <w:shd w:val="clear" w:color="auto" w:fill="FFFFFF"/>
            <w:tcMar>
              <w:top w:w="30" w:type="dxa"/>
              <w:left w:w="30" w:type="dxa"/>
              <w:bottom w:w="30" w:type="dxa"/>
              <w:right w:w="30" w:type="dxa"/>
            </w:tcMar>
            <w:vAlign w:val="center"/>
          </w:tcPr>
          <w:p w14:paraId="3D177A64"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2.381</w:t>
            </w:r>
          </w:p>
        </w:tc>
        <w:tc>
          <w:tcPr>
            <w:tcW w:w="1323" w:type="dxa"/>
            <w:shd w:val="clear" w:color="auto" w:fill="FFFFFF"/>
            <w:tcMar>
              <w:top w:w="30" w:type="dxa"/>
              <w:left w:w="30" w:type="dxa"/>
              <w:bottom w:w="30" w:type="dxa"/>
              <w:right w:w="30" w:type="dxa"/>
            </w:tcMar>
            <w:vAlign w:val="center"/>
          </w:tcPr>
          <w:p w14:paraId="48BF13A3"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.325</w:t>
            </w:r>
          </w:p>
        </w:tc>
        <w:tc>
          <w:tcPr>
            <w:tcW w:w="1452" w:type="dxa"/>
            <w:shd w:val="clear" w:color="auto" w:fill="FFFFFF"/>
            <w:tcMar>
              <w:top w:w="30" w:type="dxa"/>
              <w:left w:w="30" w:type="dxa"/>
              <w:bottom w:w="30" w:type="dxa"/>
              <w:right w:w="30" w:type="dxa"/>
            </w:tcMar>
          </w:tcPr>
          <w:p w14:paraId="65612EBA"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p>
        </w:tc>
        <w:tc>
          <w:tcPr>
            <w:tcW w:w="1012" w:type="dxa"/>
            <w:shd w:val="clear" w:color="auto" w:fill="FFFFFF"/>
            <w:tcMar>
              <w:top w:w="30" w:type="dxa"/>
              <w:left w:w="30" w:type="dxa"/>
              <w:bottom w:w="30" w:type="dxa"/>
              <w:right w:w="30" w:type="dxa"/>
            </w:tcMar>
            <w:vAlign w:val="center"/>
          </w:tcPr>
          <w:p w14:paraId="5C4A7F98"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7.332</w:t>
            </w:r>
          </w:p>
        </w:tc>
        <w:tc>
          <w:tcPr>
            <w:tcW w:w="657" w:type="dxa"/>
            <w:shd w:val="clear" w:color="auto" w:fill="FFFFFF"/>
            <w:tcMar>
              <w:top w:w="30" w:type="dxa"/>
              <w:left w:w="30" w:type="dxa"/>
              <w:bottom w:w="30" w:type="dxa"/>
              <w:right w:w="30" w:type="dxa"/>
            </w:tcMar>
            <w:vAlign w:val="center"/>
          </w:tcPr>
          <w:p w14:paraId="310DC4E2"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.000</w:t>
            </w:r>
          </w:p>
        </w:tc>
      </w:tr>
      <w:tr w:rsidR="00CB6CDB" w:rsidRPr="00CB6CDB" w14:paraId="3824C02C" w14:textId="77777777" w:rsidTr="00D042CB">
        <w:trPr>
          <w:cantSplit/>
          <w:trHeight w:val="41"/>
          <w:tblHeader/>
        </w:trPr>
        <w:tc>
          <w:tcPr>
            <w:tcW w:w="723" w:type="dxa"/>
            <w:vMerge/>
            <w:shd w:val="clear" w:color="auto" w:fill="FFFFFF"/>
            <w:tcMar>
              <w:top w:w="30" w:type="dxa"/>
              <w:left w:w="30" w:type="dxa"/>
              <w:bottom w:w="30" w:type="dxa"/>
              <w:right w:w="30" w:type="dxa"/>
            </w:tcMar>
          </w:tcPr>
          <w:p w14:paraId="529A1C73" w14:textId="77777777" w:rsidR="00CB6CDB" w:rsidRPr="00CB6CDB" w:rsidRDefault="00CB6CDB" w:rsidP="008724AA">
            <w:pPr>
              <w:widowControl w:val="0"/>
              <w:autoSpaceDE w:val="0"/>
              <w:autoSpaceDN w:val="0"/>
              <w:adjustRightInd w:val="0"/>
              <w:spacing w:line="360" w:lineRule="auto"/>
              <w:ind w:firstLine="0"/>
              <w:jc w:val="left"/>
              <w:rPr>
                <w:rFonts w:eastAsia="Times New Roman" w:cs="Times New Roman"/>
                <w:color w:val="auto"/>
                <w:szCs w:val="24"/>
              </w:rPr>
            </w:pPr>
          </w:p>
        </w:tc>
        <w:tc>
          <w:tcPr>
            <w:tcW w:w="2423" w:type="dxa"/>
            <w:shd w:val="clear" w:color="auto" w:fill="FFFFFF"/>
            <w:tcMar>
              <w:top w:w="30" w:type="dxa"/>
              <w:left w:w="30" w:type="dxa"/>
              <w:bottom w:w="30" w:type="dxa"/>
              <w:right w:w="30" w:type="dxa"/>
            </w:tcMar>
          </w:tcPr>
          <w:p w14:paraId="7D423A1F" w14:textId="77777777" w:rsidR="00CB6CDB" w:rsidRPr="00CB6CDB" w:rsidRDefault="00CB6CDB" w:rsidP="008724AA">
            <w:pPr>
              <w:widowControl w:val="0"/>
              <w:autoSpaceDE w:val="0"/>
              <w:autoSpaceDN w:val="0"/>
              <w:adjustRightInd w:val="0"/>
              <w:spacing w:line="360" w:lineRule="auto"/>
              <w:ind w:firstLine="0"/>
              <w:jc w:val="left"/>
              <w:rPr>
                <w:rFonts w:eastAsia="Times New Roman" w:cs="Times New Roman"/>
                <w:color w:val="auto"/>
                <w:szCs w:val="24"/>
              </w:rPr>
            </w:pPr>
            <w:r w:rsidRPr="00CB6CDB">
              <w:rPr>
                <w:rFonts w:eastAsia="Times New Roman" w:cs="Times New Roman"/>
                <w:color w:val="auto"/>
                <w:szCs w:val="24"/>
              </w:rPr>
              <w:t xml:space="preserve">To what extent does ZESA adhere to the tenets of corporate governance </w:t>
            </w:r>
          </w:p>
        </w:tc>
        <w:tc>
          <w:tcPr>
            <w:tcW w:w="1319" w:type="dxa"/>
            <w:shd w:val="clear" w:color="auto" w:fill="FFFFFF"/>
            <w:tcMar>
              <w:top w:w="30" w:type="dxa"/>
              <w:left w:w="30" w:type="dxa"/>
              <w:bottom w:w="30" w:type="dxa"/>
              <w:right w:w="30" w:type="dxa"/>
            </w:tcMar>
            <w:vAlign w:val="center"/>
          </w:tcPr>
          <w:p w14:paraId="70BCA900"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.238</w:t>
            </w:r>
          </w:p>
        </w:tc>
        <w:tc>
          <w:tcPr>
            <w:tcW w:w="1323" w:type="dxa"/>
            <w:shd w:val="clear" w:color="auto" w:fill="FFFFFF"/>
            <w:tcMar>
              <w:top w:w="30" w:type="dxa"/>
              <w:left w:w="30" w:type="dxa"/>
              <w:bottom w:w="30" w:type="dxa"/>
              <w:right w:w="30" w:type="dxa"/>
            </w:tcMar>
            <w:vAlign w:val="center"/>
          </w:tcPr>
          <w:p w14:paraId="10AC5B04"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.131</w:t>
            </w:r>
          </w:p>
        </w:tc>
        <w:tc>
          <w:tcPr>
            <w:tcW w:w="1452" w:type="dxa"/>
            <w:shd w:val="clear" w:color="auto" w:fill="FFFFFF"/>
            <w:tcMar>
              <w:top w:w="30" w:type="dxa"/>
              <w:left w:w="30" w:type="dxa"/>
              <w:bottom w:w="30" w:type="dxa"/>
              <w:right w:w="30" w:type="dxa"/>
            </w:tcMar>
            <w:vAlign w:val="center"/>
          </w:tcPr>
          <w:p w14:paraId="3F2C5F3A"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.203</w:t>
            </w:r>
          </w:p>
        </w:tc>
        <w:tc>
          <w:tcPr>
            <w:tcW w:w="1012" w:type="dxa"/>
            <w:shd w:val="clear" w:color="auto" w:fill="FFFFFF"/>
            <w:tcMar>
              <w:top w:w="30" w:type="dxa"/>
              <w:left w:w="30" w:type="dxa"/>
              <w:bottom w:w="30" w:type="dxa"/>
              <w:right w:w="30" w:type="dxa"/>
            </w:tcMar>
            <w:vAlign w:val="center"/>
          </w:tcPr>
          <w:p w14:paraId="244E0572"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1.808</w:t>
            </w:r>
          </w:p>
        </w:tc>
        <w:tc>
          <w:tcPr>
            <w:tcW w:w="657" w:type="dxa"/>
            <w:shd w:val="clear" w:color="auto" w:fill="FFFFFF"/>
            <w:tcMar>
              <w:top w:w="30" w:type="dxa"/>
              <w:left w:w="30" w:type="dxa"/>
              <w:bottom w:w="30" w:type="dxa"/>
              <w:right w:w="30" w:type="dxa"/>
            </w:tcMar>
            <w:vAlign w:val="center"/>
          </w:tcPr>
          <w:p w14:paraId="6033A3EE"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r w:rsidRPr="00CB6CDB">
              <w:rPr>
                <w:rFonts w:eastAsia="Times New Roman" w:cs="Times New Roman"/>
                <w:color w:val="auto"/>
                <w:szCs w:val="24"/>
              </w:rPr>
              <w:t>.034</w:t>
            </w:r>
          </w:p>
        </w:tc>
      </w:tr>
      <w:tr w:rsidR="00CB6CDB" w:rsidRPr="00CB6CDB" w14:paraId="7410696E" w14:textId="77777777" w:rsidTr="00D042CB">
        <w:trPr>
          <w:cantSplit/>
          <w:trHeight w:val="318"/>
        </w:trPr>
        <w:tc>
          <w:tcPr>
            <w:tcW w:w="8252" w:type="dxa"/>
            <w:gridSpan w:val="6"/>
            <w:shd w:val="clear" w:color="auto" w:fill="FFFFFF"/>
            <w:tcMar>
              <w:top w:w="30" w:type="dxa"/>
              <w:left w:w="30" w:type="dxa"/>
              <w:bottom w:w="30" w:type="dxa"/>
              <w:right w:w="30" w:type="dxa"/>
            </w:tcMar>
          </w:tcPr>
          <w:p w14:paraId="74ED223C"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i/>
                <w:color w:val="auto"/>
                <w:szCs w:val="24"/>
              </w:rPr>
            </w:pPr>
            <w:r w:rsidRPr="00CB6CDB">
              <w:rPr>
                <w:rFonts w:eastAsia="Times New Roman" w:cs="Times New Roman"/>
                <w:i/>
                <w:color w:val="auto"/>
                <w:szCs w:val="24"/>
              </w:rPr>
              <w:t xml:space="preserve">a. Dependent Variable: </w:t>
            </w:r>
            <w:r w:rsidRPr="00CB6CDB">
              <w:rPr>
                <w:rFonts w:eastAsia="SimSun" w:cs="Times New Roman"/>
                <w:i/>
                <w:iCs/>
                <w:color w:val="auto"/>
                <w:szCs w:val="24"/>
                <w:lang w:val="en-US" w:eastAsia="zh-CN"/>
              </w:rPr>
              <w:t>ZESA complies with the tenets of a corporate governance framework</w:t>
            </w:r>
          </w:p>
        </w:tc>
        <w:tc>
          <w:tcPr>
            <w:tcW w:w="657" w:type="dxa"/>
            <w:shd w:val="clear" w:color="auto" w:fill="FFFFFF"/>
            <w:tcMar>
              <w:top w:w="30" w:type="dxa"/>
              <w:left w:w="30" w:type="dxa"/>
              <w:bottom w:w="30" w:type="dxa"/>
              <w:right w:w="30" w:type="dxa"/>
            </w:tcMar>
          </w:tcPr>
          <w:p w14:paraId="48475839" w14:textId="77777777" w:rsidR="00CB6CDB" w:rsidRPr="00CB6CDB" w:rsidRDefault="00CB6CDB" w:rsidP="008724AA">
            <w:pPr>
              <w:widowControl w:val="0"/>
              <w:autoSpaceDE w:val="0"/>
              <w:autoSpaceDN w:val="0"/>
              <w:adjustRightInd w:val="0"/>
              <w:spacing w:line="360" w:lineRule="auto"/>
              <w:ind w:firstLine="0"/>
              <w:rPr>
                <w:rFonts w:eastAsia="Times New Roman" w:cs="Times New Roman"/>
                <w:color w:val="auto"/>
                <w:szCs w:val="24"/>
              </w:rPr>
            </w:pPr>
          </w:p>
        </w:tc>
      </w:tr>
    </w:tbl>
    <w:p w14:paraId="34A9A24A" w14:textId="77777777" w:rsidR="00CB6CDB" w:rsidRPr="00CB6CDB" w:rsidRDefault="00CB6CDB" w:rsidP="008724AA">
      <w:pPr>
        <w:shd w:val="clear" w:color="auto" w:fill="FFFFFF"/>
        <w:spacing w:before="100" w:beforeAutospacing="1" w:after="255" w:afterAutospacing="1" w:line="360" w:lineRule="auto"/>
        <w:rPr>
          <w:rFonts w:cs="Times New Roman"/>
          <w:color w:val="auto"/>
          <w:szCs w:val="24"/>
        </w:rPr>
      </w:pPr>
      <w:r w:rsidRPr="00CB6CDB">
        <w:rPr>
          <w:rFonts w:cs="Times New Roman"/>
          <w:color w:val="auto"/>
          <w:szCs w:val="24"/>
        </w:rPr>
        <w:t xml:space="preserve">Based on the </w:t>
      </w:r>
      <w:r w:rsidR="00B2221B">
        <w:rPr>
          <w:rFonts w:cs="Times New Roman"/>
          <w:color w:val="auto"/>
          <w:szCs w:val="24"/>
        </w:rPr>
        <w:t xml:space="preserve">information provided in Table </w:t>
      </w:r>
      <w:r w:rsidRPr="00CB6CDB">
        <w:rPr>
          <w:rFonts w:cs="Times New Roman"/>
          <w:color w:val="auto"/>
          <w:szCs w:val="24"/>
        </w:rPr>
        <w:t>7, it is evident that the level of compliance was 2.381 when there was no corporate governance framework in place, indicating a zero influence. Furthermore, compliance grew by 0.238 for each unit of adherence to the framework.</w:t>
      </w:r>
    </w:p>
    <w:p w14:paraId="6AC3B823" w14:textId="77777777" w:rsidR="00CB6CDB" w:rsidRPr="00CB6CDB" w:rsidRDefault="00CB6CDB" w:rsidP="008724AA">
      <w:pPr>
        <w:shd w:val="clear" w:color="auto" w:fill="FFFFFF"/>
        <w:spacing w:before="100" w:beforeAutospacing="1" w:after="255" w:afterAutospacing="1" w:line="360" w:lineRule="auto"/>
        <w:rPr>
          <w:rFonts w:cs="Times New Roman"/>
          <w:color w:val="auto"/>
          <w:szCs w:val="24"/>
        </w:rPr>
      </w:pPr>
      <w:r w:rsidRPr="00CB6CDB">
        <w:rPr>
          <w:rFonts w:cs="Times New Roman"/>
          <w:color w:val="auto"/>
          <w:szCs w:val="24"/>
        </w:rPr>
        <w:t>The interviewees emphasized the correlation between the corporate governance structure and the level of adherence. When questioned about the level of adherence to the corporate governance framework, one of the interviewees stated that:</w:t>
      </w:r>
    </w:p>
    <w:p w14:paraId="717C0CF3" w14:textId="77777777" w:rsidR="00CB6CDB" w:rsidRPr="00CB6CDB" w:rsidRDefault="00CB6CDB" w:rsidP="008724AA">
      <w:pPr>
        <w:shd w:val="clear" w:color="auto" w:fill="FFFFFF"/>
        <w:spacing w:before="100" w:beforeAutospacing="1" w:after="255" w:afterAutospacing="1" w:line="360" w:lineRule="auto"/>
        <w:ind w:left="720" w:firstLine="0"/>
        <w:rPr>
          <w:rFonts w:cs="Times New Roman"/>
          <w:color w:val="auto"/>
          <w:szCs w:val="24"/>
        </w:rPr>
      </w:pPr>
      <w:r w:rsidRPr="00CB6CDB">
        <w:rPr>
          <w:rFonts w:cs="Times New Roman"/>
          <w:i/>
          <w:iCs/>
          <w:color w:val="auto"/>
          <w:szCs w:val="24"/>
        </w:rPr>
        <w:t xml:space="preserve">“…the board of directors at ZESA has a crucial responsibility in setting strategic goals, supervising management, and ensuring compliance with corporate governance standards. The board consists of a wide variety of abilities and experiences in order </w:t>
      </w:r>
      <w:r w:rsidRPr="00CB6CDB">
        <w:rPr>
          <w:rFonts w:cs="Times New Roman"/>
          <w:i/>
          <w:iCs/>
          <w:color w:val="auto"/>
          <w:szCs w:val="24"/>
        </w:rPr>
        <w:lastRenderedPageBreak/>
        <w:t>to efficiently carry out its responsibilities. ZESA conducts frequent evaluations of its performance, which includes assessing its adherence to corporate governance standards. The purpose of these evaluations is to identify areas that require development and to ensure a continual process of enhancing performance”.</w:t>
      </w:r>
      <w:r w:rsidRPr="00CB6CDB">
        <w:rPr>
          <w:rFonts w:cs="Times New Roman"/>
          <w:color w:val="auto"/>
          <w:szCs w:val="24"/>
        </w:rPr>
        <w:t xml:space="preserve"> [Interviewee 02].</w:t>
      </w:r>
    </w:p>
    <w:p w14:paraId="3F09B83E" w14:textId="77777777" w:rsidR="00CB6CDB" w:rsidRPr="00CB6CDB" w:rsidRDefault="00CB6CDB" w:rsidP="008724AA">
      <w:pPr>
        <w:shd w:val="clear" w:color="auto" w:fill="FFFFFF"/>
        <w:spacing w:before="100" w:beforeAutospacing="1" w:after="255" w:afterAutospacing="1" w:line="360" w:lineRule="auto"/>
        <w:rPr>
          <w:rFonts w:cs="Times New Roman"/>
          <w:color w:val="auto"/>
          <w:szCs w:val="24"/>
        </w:rPr>
      </w:pPr>
      <w:r w:rsidRPr="00CB6CDB">
        <w:rPr>
          <w:rFonts w:cs="Times New Roman"/>
          <w:color w:val="auto"/>
          <w:szCs w:val="24"/>
        </w:rPr>
        <w:t xml:space="preserve">The above quotation reveals that certain interviewees recognize the significance of the corporate governance framework and its direct impact on the implementation of excellent corporate governance principles within firms. Ultimately, the study concluded that most of the participants expressed a strong agreement about the sub-committees' sufficient expertise and competence to </w:t>
      </w:r>
      <w:proofErr w:type="spellStart"/>
      <w:r w:rsidRPr="00CB6CDB">
        <w:rPr>
          <w:rFonts w:cs="Times New Roman"/>
          <w:color w:val="auto"/>
          <w:szCs w:val="24"/>
        </w:rPr>
        <w:t>fulfill</w:t>
      </w:r>
      <w:proofErr w:type="spellEnd"/>
      <w:r w:rsidRPr="00CB6CDB">
        <w:rPr>
          <w:rFonts w:cs="Times New Roman"/>
          <w:color w:val="auto"/>
          <w:szCs w:val="24"/>
        </w:rPr>
        <w:t xml:space="preserve"> their work requirements. The study examines indications of excellent corporate governance practice that align with those identified by other researchers, such as </w:t>
      </w:r>
      <w:r w:rsidR="004D3ED2">
        <w:rPr>
          <w:rFonts w:cs="Times New Roman"/>
          <w:color w:val="auto"/>
          <w:szCs w:val="24"/>
        </w:rPr>
        <w:fldChar w:fldCharType="begin" w:fldLock="1"/>
      </w:r>
      <w:r w:rsidR="004D3ED2">
        <w:rPr>
          <w:rFonts w:cs="Times New Roman"/>
          <w:color w:val="auto"/>
          <w:szCs w:val="24"/>
        </w:rPr>
        <w:instrText>ADDIN CSL_CITATION {"citationItems":[{"id":"ITEM-1","itemData":{"abstract":"This chapter explores creating new services through service design. Service innovation requires developing new ways of value co-creation between customers and service organizations to improve human well-being. Service design is essential to service innovation because it brings a service organization's strategy and innovative service ideas to life. This chapter introduces service innovation, examines the challenges of creating new services, and synthesizes different contributions from the interdisciplinary service design field. It then presents the multilevel service design method and describes the service design process through its iterative stages of understanding the customer experience, designing the service offering and prototyping the service experience.","author":[{"dropping-particle":"","family":"Patrício","given":"Lia","non-dropping-particle":"","parse-names":false,"suffix":""},{"dropping-particle":"","family":"Fisk","given":"Raymond P.","non-dropping-particle":"","parse-names":false,"suffix":""}],"container-title":"Serving Customers: Global Services Marketing Perspectives","id":"ITEM-1","issue":"June 2013","issued":{"date-parts":[["2017"]]},"page":"185-207","title":"Chapter 10 Creating new services","type":"article-journal"},"uris":["http://www.mendeley.com/documents/?uuid=7f41f515-09e7-460d-81dd-a6b9869fb92e"]}],"mendeley":{"formattedCitation":"(Patrício &amp; Fisk, 2017)","manualFormatting":"Patrício &amp; Fisk (2017)","plainTextFormattedCitation":"(Patrício &amp; Fisk, 2017)","previouslyFormattedCitation":"(Patrício &amp; Fisk, 2017)"},"properties":{"noteIndex":0},"schema":"https://github.com/citation-style-language/schema/raw/master/csl-citation.json"}</w:instrText>
      </w:r>
      <w:r w:rsidR="004D3ED2">
        <w:rPr>
          <w:rFonts w:cs="Times New Roman"/>
          <w:color w:val="auto"/>
          <w:szCs w:val="24"/>
        </w:rPr>
        <w:fldChar w:fldCharType="separate"/>
      </w:r>
      <w:r w:rsidR="004D3ED2">
        <w:rPr>
          <w:rFonts w:cs="Times New Roman"/>
          <w:noProof/>
          <w:color w:val="auto"/>
          <w:szCs w:val="24"/>
        </w:rPr>
        <w:t>Patrício &amp; Fisk</w:t>
      </w:r>
      <w:r w:rsidR="004D3ED2" w:rsidRPr="004D3ED2">
        <w:rPr>
          <w:rFonts w:cs="Times New Roman"/>
          <w:noProof/>
          <w:color w:val="auto"/>
          <w:szCs w:val="24"/>
        </w:rPr>
        <w:t xml:space="preserve"> </w:t>
      </w:r>
      <w:r w:rsidR="004D3ED2">
        <w:rPr>
          <w:rFonts w:cs="Times New Roman"/>
          <w:noProof/>
          <w:color w:val="auto"/>
          <w:szCs w:val="24"/>
        </w:rPr>
        <w:t>(</w:t>
      </w:r>
      <w:r w:rsidR="004D3ED2" w:rsidRPr="004D3ED2">
        <w:rPr>
          <w:rFonts w:cs="Times New Roman"/>
          <w:noProof/>
          <w:color w:val="auto"/>
          <w:szCs w:val="24"/>
        </w:rPr>
        <w:t>2017)</w:t>
      </w:r>
      <w:r w:rsidR="004D3ED2">
        <w:rPr>
          <w:rFonts w:cs="Times New Roman"/>
          <w:color w:val="auto"/>
          <w:szCs w:val="24"/>
        </w:rPr>
        <w:fldChar w:fldCharType="end"/>
      </w:r>
      <w:r w:rsidRPr="00CB6CDB">
        <w:rPr>
          <w:rFonts w:cs="Times New Roman"/>
          <w:color w:val="auto"/>
          <w:szCs w:val="24"/>
        </w:rPr>
        <w:t>, who emphasized the importance of accountability and responsibility as key indicators of good corporate governance practice.</w:t>
      </w:r>
    </w:p>
    <w:p w14:paraId="72EE0700" w14:textId="77777777" w:rsidR="00CB6CDB" w:rsidRPr="00CB6CDB" w:rsidRDefault="00CB6CDB" w:rsidP="008724AA">
      <w:pPr>
        <w:pStyle w:val="Heading1"/>
        <w:spacing w:line="360" w:lineRule="auto"/>
        <w:rPr>
          <w:lang w:eastAsia="en-GB"/>
        </w:rPr>
      </w:pPr>
      <w:bookmarkStart w:id="20" w:name="_Toc161654486"/>
      <w:r w:rsidRPr="00CB6CDB">
        <w:rPr>
          <w:lang w:eastAsia="en-GB"/>
        </w:rPr>
        <w:t>Guidelines for strengthening implementation of the Corporate Governance Framework in ZESA</w:t>
      </w:r>
      <w:bookmarkEnd w:id="20"/>
    </w:p>
    <w:p w14:paraId="308F7B18" w14:textId="77777777" w:rsidR="00CB6CDB" w:rsidRPr="00CB6CDB" w:rsidRDefault="00CB6CDB" w:rsidP="008724AA">
      <w:pPr>
        <w:spacing w:line="360" w:lineRule="auto"/>
        <w:rPr>
          <w:rFonts w:eastAsia="SimSun" w:cs="Times New Roman"/>
          <w:color w:val="auto"/>
          <w:szCs w:val="24"/>
          <w:lang w:val="en-US" w:eastAsia="zh-CN"/>
        </w:rPr>
      </w:pPr>
      <w:r w:rsidRPr="00CB6CDB">
        <w:rPr>
          <w:rFonts w:eastAsia="SimSun" w:cs="Times New Roman"/>
          <w:color w:val="auto"/>
          <w:szCs w:val="24"/>
          <w:lang w:val="en-US" w:eastAsia="zh-CN"/>
        </w:rPr>
        <w:t xml:space="preserve">The study revealed some gaps in the implementation of the Corporate Governance Framework at ZESA. The findings established that the majority of the participants agreed (Overall mean score 3.91) with the elements on understanding of what needs to be done though in most cases it was not being implemented. Furthermore, the respondents agreed on most of the aspects that showed effectiveness of good corporate governance practices at ZESA (overall mean score 4.19). These results indicated gaps in the implementation of corporate governance at ZESA as they all fell short of the highest Likert scale of 5. </w:t>
      </w:r>
    </w:p>
    <w:p w14:paraId="0B72175F" w14:textId="77777777" w:rsidR="00CB6CDB" w:rsidRPr="00CB6CDB" w:rsidRDefault="00CB6CDB" w:rsidP="008724AA">
      <w:pPr>
        <w:spacing w:line="360" w:lineRule="auto"/>
        <w:rPr>
          <w:rFonts w:eastAsia="SimSun" w:cs="Times New Roman"/>
          <w:color w:val="auto"/>
          <w:szCs w:val="24"/>
          <w:lang w:val="en-US" w:eastAsia="zh-CN"/>
        </w:rPr>
      </w:pPr>
      <w:r w:rsidRPr="00CB6CDB">
        <w:rPr>
          <w:rFonts w:eastAsia="SimSun" w:cs="Times New Roman"/>
          <w:color w:val="auto"/>
          <w:szCs w:val="24"/>
          <w:lang w:val="en-US" w:eastAsia="zh-CN"/>
        </w:rPr>
        <w:t>Strengthening the implementation of corporate governance framework in ZESA requires a comprehensive model that addresses various aspects such as transparency, accountability, and ethical decision-making. Below is a model for strengthening the implementation of corporate governance framework in ZESA.</w:t>
      </w:r>
    </w:p>
    <w:p w14:paraId="32F74E36" w14:textId="77777777" w:rsidR="00CB6CDB" w:rsidRPr="00CB6CDB" w:rsidRDefault="00C567EF" w:rsidP="008724AA">
      <w:pPr>
        <w:spacing w:after="200" w:line="360" w:lineRule="auto"/>
        <w:rPr>
          <w:rFonts w:eastAsia="SimSun" w:cs="Times New Roman"/>
          <w:color w:val="auto"/>
          <w:szCs w:val="24"/>
          <w:lang w:val="en-US" w:eastAsia="zh-CN"/>
        </w:rPr>
      </w:pPr>
      <w:r>
        <w:rPr>
          <w:rFonts w:eastAsia="SimSun" w:cs="Times New Roman"/>
          <w:noProof/>
          <w:color w:val="auto"/>
          <w:szCs w:val="24"/>
          <w:lang w:val="en-US" w:eastAsia="en-US"/>
        </w:rPr>
        <mc:AlternateContent>
          <mc:Choice Requires="wpg">
            <w:drawing>
              <wp:anchor distT="0" distB="0" distL="114300" distR="114300" simplePos="0" relativeHeight="251664384" behindDoc="0" locked="0" layoutInCell="1" allowOverlap="1" wp14:anchorId="4691984D" wp14:editId="5A8C8BED">
                <wp:simplePos x="0" y="0"/>
                <wp:positionH relativeFrom="column">
                  <wp:posOffset>739833</wp:posOffset>
                </wp:positionH>
                <wp:positionV relativeFrom="paragraph">
                  <wp:posOffset>33655</wp:posOffset>
                </wp:positionV>
                <wp:extent cx="3895898" cy="2605347"/>
                <wp:effectExtent l="0" t="19050" r="28575" b="24130"/>
                <wp:wrapNone/>
                <wp:docPr id="7" name="Group 7"/>
                <wp:cNvGraphicFramePr/>
                <a:graphic xmlns:a="http://schemas.openxmlformats.org/drawingml/2006/main">
                  <a:graphicData uri="http://schemas.microsoft.com/office/word/2010/wordprocessingGroup">
                    <wpg:wgp>
                      <wpg:cNvGrpSpPr/>
                      <wpg:grpSpPr>
                        <a:xfrm>
                          <a:off x="0" y="0"/>
                          <a:ext cx="3895898" cy="2605347"/>
                          <a:chOff x="0" y="0"/>
                          <a:chExt cx="3895898" cy="2605347"/>
                        </a:xfrm>
                      </wpg:grpSpPr>
                      <wps:wsp>
                        <wps:cNvPr id="546293065" name="Rectangle 1"/>
                        <wps:cNvSpPr/>
                        <wps:spPr>
                          <a:xfrm>
                            <a:off x="0" y="606829"/>
                            <a:ext cx="525780" cy="1973580"/>
                          </a:xfrm>
                          <a:prstGeom prst="rect">
                            <a:avLst/>
                          </a:prstGeom>
                          <a:solidFill>
                            <a:srgbClr val="4472C4">
                              <a:lumMod val="20000"/>
                              <a:lumOff val="80000"/>
                            </a:srgbClr>
                          </a:solidFill>
                          <a:ln w="12700" cap="flat" cmpd="sng" algn="ctr">
                            <a:solidFill>
                              <a:sysClr val="windowText" lastClr="000000"/>
                            </a:solidFill>
                            <a:prstDash val="solid"/>
                            <a:miter lim="800000"/>
                          </a:ln>
                          <a:effectLst/>
                        </wps:spPr>
                        <wps:txbx>
                          <w:txbxContent>
                            <w:p w14:paraId="1D56B052" w14:textId="77777777" w:rsidR="00C567EF" w:rsidRDefault="00CB6CDB" w:rsidP="00CB6CDB">
                              <w:pPr>
                                <w:rPr>
                                  <w:lang w:val="en-US"/>
                                </w:rPr>
                              </w:pPr>
                              <w:r>
                                <w:rPr>
                                  <w:lang w:val="en-US"/>
                                </w:rPr>
                                <w:t xml:space="preserve">     Leadership </w:t>
                              </w:r>
                              <w:r w:rsidR="00C567EF">
                                <w:rPr>
                                  <w:lang w:val="en-US"/>
                                </w:rPr>
                                <w:t xml:space="preserve">   </w:t>
                              </w:r>
                            </w:p>
                            <w:p w14:paraId="21B70506" w14:textId="77777777" w:rsidR="00CB6CDB" w:rsidRPr="000300E7" w:rsidRDefault="00CB6CDB" w:rsidP="00CB6CDB">
                              <w:pPr>
                                <w:rPr>
                                  <w:lang w:val="en-US"/>
                                </w:rPr>
                              </w:pPr>
                              <w:r>
                                <w:rPr>
                                  <w:lang w:val="en-US"/>
                                </w:rPr>
                                <w:t>commitment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736677879" name="Rectangle 1"/>
                        <wps:cNvSpPr/>
                        <wps:spPr>
                          <a:xfrm>
                            <a:off x="881149" y="606829"/>
                            <a:ext cx="510540" cy="1973580"/>
                          </a:xfrm>
                          <a:prstGeom prst="rect">
                            <a:avLst/>
                          </a:prstGeom>
                          <a:solidFill>
                            <a:srgbClr val="4472C4">
                              <a:lumMod val="20000"/>
                              <a:lumOff val="80000"/>
                            </a:srgbClr>
                          </a:solidFill>
                          <a:ln w="12700" cap="flat" cmpd="sng" algn="ctr">
                            <a:solidFill>
                              <a:sysClr val="windowText" lastClr="000000"/>
                            </a:solidFill>
                            <a:prstDash val="solid"/>
                            <a:miter lim="800000"/>
                          </a:ln>
                          <a:effectLst/>
                        </wps:spPr>
                        <wps:txbx>
                          <w:txbxContent>
                            <w:p w14:paraId="45FFA2E7" w14:textId="77777777" w:rsidR="00CB6CDB" w:rsidRPr="00C07EA8" w:rsidRDefault="00CB6CDB" w:rsidP="00CB6CDB">
                              <w:pPr>
                                <w:jc w:val="center"/>
                                <w:rPr>
                                  <w:lang w:val="en-US"/>
                                </w:rPr>
                              </w:pPr>
                              <w:r>
                                <w:rPr>
                                  <w:lang w:val="en-US"/>
                                </w:rPr>
                                <w:t>Board of Directors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739017488" name="Rectangle 1"/>
                        <wps:cNvSpPr/>
                        <wps:spPr>
                          <a:xfrm>
                            <a:off x="1695796" y="623455"/>
                            <a:ext cx="495300" cy="1973580"/>
                          </a:xfrm>
                          <a:prstGeom prst="rect">
                            <a:avLst/>
                          </a:prstGeom>
                          <a:solidFill>
                            <a:srgbClr val="4472C4">
                              <a:lumMod val="20000"/>
                              <a:lumOff val="80000"/>
                            </a:srgbClr>
                          </a:solidFill>
                          <a:ln w="12700" cap="flat" cmpd="sng" algn="ctr">
                            <a:solidFill>
                              <a:sysClr val="windowText" lastClr="000000"/>
                            </a:solidFill>
                            <a:prstDash val="solid"/>
                            <a:miter lim="800000"/>
                          </a:ln>
                          <a:effectLst/>
                        </wps:spPr>
                        <wps:txbx>
                          <w:txbxContent>
                            <w:p w14:paraId="14513D70" w14:textId="77777777" w:rsidR="00CB6CDB" w:rsidRPr="00C07EA8" w:rsidRDefault="00CB6CDB" w:rsidP="00CB6CDB">
                              <w:pPr>
                                <w:jc w:val="center"/>
                                <w:rPr>
                                  <w:lang w:val="en-US"/>
                                </w:rPr>
                              </w:pPr>
                              <w:r>
                                <w:rPr>
                                  <w:lang w:val="en-US"/>
                                </w:rPr>
                                <w:t>Risk Management Framework</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041961834" name="Rectangle 1"/>
                        <wps:cNvSpPr/>
                        <wps:spPr>
                          <a:xfrm>
                            <a:off x="2518756" y="631767"/>
                            <a:ext cx="480060" cy="1973580"/>
                          </a:xfrm>
                          <a:prstGeom prst="rect">
                            <a:avLst/>
                          </a:prstGeom>
                          <a:solidFill>
                            <a:srgbClr val="4472C4">
                              <a:lumMod val="20000"/>
                              <a:lumOff val="80000"/>
                            </a:srgbClr>
                          </a:solidFill>
                          <a:ln w="12700" cap="flat" cmpd="sng" algn="ctr">
                            <a:solidFill>
                              <a:sysClr val="windowText" lastClr="000000"/>
                            </a:solidFill>
                            <a:prstDash val="solid"/>
                            <a:miter lim="800000"/>
                          </a:ln>
                          <a:effectLst/>
                        </wps:spPr>
                        <wps:txbx>
                          <w:txbxContent>
                            <w:p w14:paraId="472280FF" w14:textId="77777777" w:rsidR="00CB6CDB" w:rsidRPr="00C07EA8" w:rsidRDefault="00CB6CDB" w:rsidP="00CB6CDB">
                              <w:pPr>
                                <w:jc w:val="center"/>
                                <w:rPr>
                                  <w:lang w:val="en-US"/>
                                </w:rPr>
                              </w:pPr>
                              <w:r>
                                <w:rPr>
                                  <w:lang w:val="en-US"/>
                                </w:rPr>
                                <w:t>Financial Reporting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096508389" name="Flowchart: Extract 2"/>
                        <wps:cNvSpPr/>
                        <wps:spPr>
                          <a:xfrm>
                            <a:off x="66502" y="0"/>
                            <a:ext cx="3649980" cy="560070"/>
                          </a:xfrm>
                          <a:prstGeom prst="flowChartExtract">
                            <a:avLst/>
                          </a:prstGeom>
                          <a:solidFill>
                            <a:srgbClr val="4472C4">
                              <a:lumMod val="20000"/>
                              <a:lumOff val="80000"/>
                            </a:srgbClr>
                          </a:solidFill>
                          <a:ln w="12700" cap="flat" cmpd="sng" algn="ctr">
                            <a:solidFill>
                              <a:sysClr val="windowText" lastClr="000000"/>
                            </a:solidFill>
                            <a:prstDash val="solid"/>
                            <a:miter lim="800000"/>
                          </a:ln>
                          <a:effectLst/>
                        </wps:spPr>
                        <wps:txbx>
                          <w:txbxContent>
                            <w:p w14:paraId="650C99B2" w14:textId="77777777" w:rsidR="00CB6CDB" w:rsidRPr="007263ED" w:rsidRDefault="00CB6CDB" w:rsidP="00CB6CDB">
                              <w:pPr>
                                <w:jc w:val="center"/>
                                <w:rPr>
                                  <w:lang w:val="en-US"/>
                                </w:rPr>
                              </w:pPr>
                              <w:r w:rsidRPr="007263ED">
                                <w:rPr>
                                  <w:sz w:val="16"/>
                                  <w:szCs w:val="16"/>
                                  <w:lang w:val="en-US"/>
                                </w:rPr>
                                <w:t>Corporate Governance</w:t>
                              </w:r>
                              <w:r>
                                <w:rPr>
                                  <w:lang w:val="en-US"/>
                                </w:rPr>
                                <w:t xml:space="preserve"> </w:t>
                              </w:r>
                              <w:r w:rsidRPr="007263ED">
                                <w:rPr>
                                  <w:sz w:val="18"/>
                                  <w:szCs w:val="18"/>
                                  <w:lang w:val="en-US"/>
                                </w:rPr>
                                <w:t>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92200" name="Rectangle 1"/>
                        <wps:cNvSpPr/>
                        <wps:spPr>
                          <a:xfrm>
                            <a:off x="3316778" y="615142"/>
                            <a:ext cx="579120" cy="1973580"/>
                          </a:xfrm>
                          <a:prstGeom prst="rect">
                            <a:avLst/>
                          </a:prstGeom>
                          <a:solidFill>
                            <a:srgbClr val="4472C4">
                              <a:lumMod val="20000"/>
                              <a:lumOff val="80000"/>
                            </a:srgbClr>
                          </a:solidFill>
                          <a:ln w="12700" cap="flat" cmpd="sng" algn="ctr">
                            <a:solidFill>
                              <a:sysClr val="windowText" lastClr="000000"/>
                            </a:solidFill>
                            <a:prstDash val="solid"/>
                            <a:miter lim="800000"/>
                          </a:ln>
                          <a:effectLst/>
                        </wps:spPr>
                        <wps:txbx>
                          <w:txbxContent>
                            <w:p w14:paraId="23D3D789" w14:textId="77777777" w:rsidR="00CB6CDB" w:rsidRPr="000300E7" w:rsidRDefault="00CB6CDB" w:rsidP="00CB6CDB">
                              <w:pPr>
                                <w:rPr>
                                  <w:lang w:val="en-US"/>
                                </w:rPr>
                              </w:pPr>
                              <w:r>
                                <w:rPr>
                                  <w:lang w:val="en-US"/>
                                </w:rPr>
                                <w:t>Monitoring and Evaluation of performance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91984D" id="Group 7" o:spid="_x0000_s1026" style="position:absolute;left:0;text-align:left;margin-left:58.25pt;margin-top:2.65pt;width:306.75pt;height:205.15pt;z-index:251664384" coordsize="38958,26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">
                <v:rect id="Rectangle 1" o:spid="_x0000_s1027" style="position:absolute;top:6068;width:5257;height:19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" fillcolor="#dae3f3" strokecolor="windowText" strokeweight="1pt">
                  <v:textbox style="layout-flow:vertical;mso-layout-flow-alt:bottom-to-top">
                    <w:txbxContent>
                      <w:p w14:paraId="1D56B052" w14:textId="77777777" w:rsidR="00C567EF" w:rsidRDefault="00CB6CDB" w:rsidP="00CB6CDB">
                        <w:pPr>
                          <w:rPr>
                            <w:lang w:val="en-US"/>
                          </w:rPr>
                        </w:pPr>
                        <w:r>
                          <w:rPr>
                            <w:lang w:val="en-US"/>
                          </w:rPr>
                          <w:t xml:space="preserve">     Leadership </w:t>
                        </w:r>
                        <w:r w:rsidR="00C567EF">
                          <w:rPr>
                            <w:lang w:val="en-US"/>
                          </w:rPr>
                          <w:t xml:space="preserve">   </w:t>
                        </w:r>
                      </w:p>
                      <w:p w14:paraId="21B70506" w14:textId="77777777" w:rsidR="00CB6CDB" w:rsidRPr="000300E7" w:rsidRDefault="00CB6CDB" w:rsidP="00CB6CDB">
                        <w:pPr>
                          <w:rPr>
                            <w:lang w:val="en-US"/>
                          </w:rPr>
                        </w:pPr>
                        <w:r>
                          <w:rPr>
                            <w:lang w:val="en-US"/>
                          </w:rPr>
                          <w:t>commitment</w:t>
                        </w:r>
                      </w:p>
                    </w:txbxContent>
                  </v:textbox>
                </v:rect>
                <v:rect id="Rectangle 1" o:spid="_x0000_s1028" style="position:absolute;left:8811;top:6068;width:5105;height:19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" fillcolor="#dae3f3" strokecolor="windowText" strokeweight="1pt">
                  <v:textbox style="layout-flow:vertical;mso-layout-flow-alt:bottom-to-top">
                    <w:txbxContent>
                      <w:p w14:paraId="45FFA2E7" w14:textId="77777777" w:rsidR="00CB6CDB" w:rsidRPr="00C07EA8" w:rsidRDefault="00CB6CDB" w:rsidP="00CB6CDB">
                        <w:pPr>
                          <w:jc w:val="center"/>
                          <w:rPr>
                            <w:lang w:val="en-US"/>
                          </w:rPr>
                        </w:pPr>
                        <w:r>
                          <w:rPr>
                            <w:lang w:val="en-US"/>
                          </w:rPr>
                          <w:t>Board of Directors</w:t>
                        </w:r>
                      </w:p>
                    </w:txbxContent>
                  </v:textbox>
                </v:rect>
                <v:rect id="Rectangle 1" o:spid="_x0000_s1029" style="position:absolute;left:16957;top:6234;width:4953;height:19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" fillcolor="#dae3f3" strokecolor="windowText" strokeweight="1pt">
                  <v:textbox style="layout-flow:vertical;mso-layout-flow-alt:bottom-to-top">
                    <w:txbxContent>
                      <w:p w14:paraId="14513D70" w14:textId="77777777" w:rsidR="00CB6CDB" w:rsidRPr="00C07EA8" w:rsidRDefault="00CB6CDB" w:rsidP="00CB6CDB">
                        <w:pPr>
                          <w:jc w:val="center"/>
                          <w:rPr>
                            <w:lang w:val="en-US"/>
                          </w:rPr>
                        </w:pPr>
                        <w:r>
                          <w:rPr>
                            <w:lang w:val="en-US"/>
                          </w:rPr>
                          <w:t>Risk Management Framework</w:t>
                        </w:r>
                      </w:p>
                    </w:txbxContent>
                  </v:textbox>
                </v:rect>
                <v:rect id="Rectangle 1" o:spid="_x0000_s1030" style="position:absolute;left:25187;top:6317;width:4801;height:19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" fillcolor="#dae3f3" strokecolor="windowText" strokeweight="1pt">
                  <v:textbox style="layout-flow:vertical;mso-layout-flow-alt:bottom-to-top">
                    <w:txbxContent>
                      <w:p w14:paraId="472280FF" w14:textId="77777777" w:rsidR="00CB6CDB" w:rsidRPr="00C07EA8" w:rsidRDefault="00CB6CDB" w:rsidP="00CB6CDB">
                        <w:pPr>
                          <w:jc w:val="center"/>
                          <w:rPr>
                            <w:lang w:val="en-US"/>
                          </w:rPr>
                        </w:pPr>
                        <w:r>
                          <w:rPr>
                            <w:lang w:val="en-US"/>
                          </w:rPr>
                          <w:t>Financial Reporting</w:t>
                        </w:r>
                      </w:p>
                    </w:txbxContent>
                  </v:textbox>
                </v:rect>
                <v:shapetype id="_x0000_t127" coordsize="21600,21600" o:spt="127" path="m10800,l21600,21600,,21600xe">
                  <v:stroke joinstyle="miter"/>
                  <v:path gradientshapeok="t" o:connecttype="custom" o:connectlocs="10800,0;5400,10800;10800,21600;16200,10800" textboxrect="5400,10800,16200,21600"/>
                </v:shapetype>
                <v:shape id="Flowchart: Extract 2" o:spid="_x0000_s1031" type="#_x0000_t127" style="position:absolute;left:665;width:36499;height: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" fillcolor="#dae3f3" strokecolor="windowText" strokeweight="1pt">
                  <v:textbox>
                    <w:txbxContent>
                      <w:p w14:paraId="650C99B2" w14:textId="77777777" w:rsidR="00CB6CDB" w:rsidRPr="007263ED" w:rsidRDefault="00CB6CDB" w:rsidP="00CB6CDB">
                        <w:pPr>
                          <w:jc w:val="center"/>
                          <w:rPr>
                            <w:lang w:val="en-US"/>
                          </w:rPr>
                        </w:pPr>
                        <w:r w:rsidRPr="007263ED">
                          <w:rPr>
                            <w:sz w:val="16"/>
                            <w:szCs w:val="16"/>
                            <w:lang w:val="en-US"/>
                          </w:rPr>
                          <w:t>Corporate Governance</w:t>
                        </w:r>
                        <w:r>
                          <w:rPr>
                            <w:lang w:val="en-US"/>
                          </w:rPr>
                          <w:t xml:space="preserve"> </w:t>
                        </w:r>
                        <w:r w:rsidRPr="007263ED">
                          <w:rPr>
                            <w:sz w:val="18"/>
                            <w:szCs w:val="18"/>
                            <w:lang w:val="en-US"/>
                          </w:rPr>
                          <w:t>Framework</w:t>
                        </w:r>
                      </w:p>
                    </w:txbxContent>
                  </v:textbox>
                </v:shape>
                <v:rect id="Rectangle 1" o:spid="_x0000_s1032" style="position:absolute;left:33167;top:6151;width:5791;height:19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" fillcolor="#dae3f3" strokecolor="windowText" strokeweight="1pt">
                  <v:textbox style="layout-flow:vertical;mso-layout-flow-alt:bottom-to-top">
                    <w:txbxContent>
                      <w:p w14:paraId="23D3D789" w14:textId="77777777" w:rsidR="00CB6CDB" w:rsidRPr="000300E7" w:rsidRDefault="00CB6CDB" w:rsidP="00CB6CDB">
                        <w:pPr>
                          <w:rPr>
                            <w:lang w:val="en-US"/>
                          </w:rPr>
                        </w:pPr>
                        <w:r>
                          <w:rPr>
                            <w:lang w:val="en-US"/>
                          </w:rPr>
                          <w:t>Monitoring and Evaluation of performance</w:t>
                        </w:r>
                      </w:p>
                    </w:txbxContent>
                  </v:textbox>
                </v:rect>
              </v:group>
            </w:pict>
          </mc:Fallback>
        </mc:AlternateContent>
      </w:r>
    </w:p>
    <w:p w14:paraId="54803805" w14:textId="77777777" w:rsidR="00CB6CDB" w:rsidRPr="00CB6CDB" w:rsidRDefault="00CB6CDB" w:rsidP="008724AA">
      <w:pPr>
        <w:spacing w:after="200" w:line="360" w:lineRule="auto"/>
        <w:ind w:firstLine="0"/>
        <w:rPr>
          <w:rFonts w:eastAsia="SimSun" w:cs="Times New Roman"/>
          <w:color w:val="auto"/>
          <w:szCs w:val="24"/>
          <w:lang w:val="en-US" w:eastAsia="zh-CN"/>
        </w:rPr>
      </w:pPr>
    </w:p>
    <w:p w14:paraId="55F1FFD1" w14:textId="77777777" w:rsidR="00CB6CDB" w:rsidRPr="00CB6CDB" w:rsidRDefault="00CB6CDB" w:rsidP="008724AA">
      <w:pPr>
        <w:tabs>
          <w:tab w:val="left" w:pos="1572"/>
          <w:tab w:val="left" w:pos="3156"/>
          <w:tab w:val="center" w:pos="4513"/>
          <w:tab w:val="left" w:pos="4908"/>
          <w:tab w:val="left" w:pos="7704"/>
        </w:tabs>
        <w:spacing w:after="200" w:line="360" w:lineRule="auto"/>
        <w:ind w:firstLine="0"/>
        <w:rPr>
          <w:rFonts w:eastAsia="SimSun" w:cs="Times New Roman"/>
          <w:color w:val="auto"/>
          <w:szCs w:val="24"/>
          <w:lang w:val="en-US" w:eastAsia="zh-CN"/>
        </w:rPr>
      </w:pPr>
      <w:r w:rsidRPr="00CB6CDB">
        <w:rPr>
          <w:rFonts w:eastAsia="SimSun" w:cs="Times New Roman"/>
          <w:color w:val="auto"/>
          <w:szCs w:val="24"/>
          <w:lang w:val="en-US" w:eastAsia="zh-CN"/>
        </w:rPr>
        <w:tab/>
      </w:r>
      <w:r w:rsidRPr="00CB6CDB">
        <w:rPr>
          <w:rFonts w:eastAsia="SimSun" w:cs="Times New Roman"/>
          <w:color w:val="auto"/>
          <w:szCs w:val="24"/>
          <w:lang w:val="en-US" w:eastAsia="zh-CN"/>
        </w:rPr>
        <w:tab/>
      </w:r>
      <w:r w:rsidRPr="00CB6CDB">
        <w:rPr>
          <w:rFonts w:eastAsia="SimSun" w:cs="Times New Roman"/>
          <w:color w:val="auto"/>
          <w:szCs w:val="24"/>
          <w:lang w:val="en-US" w:eastAsia="zh-CN"/>
        </w:rPr>
        <w:tab/>
      </w:r>
      <w:r w:rsidRPr="00CB6CDB">
        <w:rPr>
          <w:rFonts w:eastAsia="SimSun" w:cs="Times New Roman"/>
          <w:color w:val="auto"/>
          <w:szCs w:val="24"/>
          <w:lang w:val="en-US" w:eastAsia="zh-CN"/>
        </w:rPr>
        <w:tab/>
      </w:r>
      <w:r w:rsidRPr="00CB6CDB">
        <w:rPr>
          <w:rFonts w:eastAsia="SimSun" w:cs="Times New Roman"/>
          <w:color w:val="auto"/>
          <w:szCs w:val="24"/>
          <w:lang w:val="en-US" w:eastAsia="zh-CN"/>
        </w:rPr>
        <w:tab/>
      </w:r>
    </w:p>
    <w:p w14:paraId="3FEFD343" w14:textId="77777777" w:rsidR="00CB6CDB" w:rsidRPr="00CB6CDB" w:rsidRDefault="00CB6CDB" w:rsidP="008724AA">
      <w:pPr>
        <w:spacing w:after="200" w:line="360" w:lineRule="auto"/>
        <w:ind w:firstLine="0"/>
        <w:rPr>
          <w:rFonts w:eastAsia="SimSun" w:cs="Times New Roman"/>
          <w:color w:val="auto"/>
          <w:szCs w:val="24"/>
          <w:lang w:val="en-US" w:eastAsia="zh-CN"/>
        </w:rPr>
      </w:pPr>
    </w:p>
    <w:p w14:paraId="6E887F1D" w14:textId="77777777" w:rsidR="00CB6CDB" w:rsidRPr="00CB6CDB" w:rsidRDefault="00CB6CDB" w:rsidP="008724AA">
      <w:pPr>
        <w:spacing w:after="200" w:line="360" w:lineRule="auto"/>
        <w:ind w:firstLine="0"/>
        <w:rPr>
          <w:rFonts w:eastAsia="SimSun" w:cs="Times New Roman"/>
          <w:color w:val="auto"/>
          <w:szCs w:val="24"/>
          <w:lang w:val="en-US" w:eastAsia="zh-CN"/>
        </w:rPr>
      </w:pPr>
    </w:p>
    <w:p w14:paraId="05816A35" w14:textId="77777777" w:rsidR="00CB6CDB" w:rsidRPr="00CB6CDB" w:rsidRDefault="00CB6CDB" w:rsidP="008724AA">
      <w:pPr>
        <w:spacing w:after="200" w:line="360" w:lineRule="auto"/>
        <w:ind w:firstLine="0"/>
        <w:rPr>
          <w:rFonts w:eastAsia="SimSun" w:cs="Times New Roman"/>
          <w:color w:val="auto"/>
          <w:szCs w:val="24"/>
          <w:lang w:val="en-US" w:eastAsia="zh-CN"/>
        </w:rPr>
      </w:pPr>
    </w:p>
    <w:p w14:paraId="50D431AB" w14:textId="77777777" w:rsidR="00CB6CDB" w:rsidRPr="00CB6CDB" w:rsidRDefault="00CB6CDB" w:rsidP="008724AA">
      <w:pPr>
        <w:spacing w:after="200" w:line="360" w:lineRule="auto"/>
        <w:rPr>
          <w:rFonts w:eastAsia="SimSun" w:cs="Times New Roman"/>
          <w:color w:val="auto"/>
          <w:szCs w:val="24"/>
          <w:lang w:val="en-US" w:eastAsia="zh-CN"/>
        </w:rPr>
      </w:pPr>
    </w:p>
    <w:p w14:paraId="778252B9" w14:textId="77777777" w:rsidR="00CB6CDB" w:rsidRPr="00CB6CDB" w:rsidRDefault="00CB6CDB" w:rsidP="008724AA">
      <w:pPr>
        <w:spacing w:after="200" w:line="360" w:lineRule="auto"/>
        <w:rPr>
          <w:rFonts w:eastAsia="SimSun" w:cs="Times New Roman"/>
          <w:b/>
          <w:bCs/>
          <w:color w:val="auto"/>
          <w:szCs w:val="24"/>
          <w:lang w:val="en-US" w:eastAsia="zh-CN"/>
        </w:rPr>
      </w:pPr>
    </w:p>
    <w:p w14:paraId="5DAC68BC" w14:textId="77777777" w:rsidR="00B2221B" w:rsidRDefault="00B2221B" w:rsidP="008724AA">
      <w:pPr>
        <w:spacing w:after="200" w:line="360" w:lineRule="auto"/>
        <w:rPr>
          <w:rFonts w:eastAsia="SimSun" w:cs="Times New Roman"/>
          <w:b/>
          <w:bCs/>
          <w:color w:val="auto"/>
          <w:szCs w:val="24"/>
          <w:lang w:val="en-US" w:eastAsia="zh-CN"/>
        </w:rPr>
      </w:pPr>
    </w:p>
    <w:p w14:paraId="3A3AD2EF" w14:textId="77777777" w:rsidR="00CB6CDB" w:rsidRPr="00CB6CDB" w:rsidRDefault="00B2221B" w:rsidP="008724AA">
      <w:pPr>
        <w:spacing w:after="200" w:line="360" w:lineRule="auto"/>
        <w:rPr>
          <w:rFonts w:eastAsia="SimSun" w:cs="Times New Roman"/>
          <w:b/>
          <w:bCs/>
          <w:color w:val="auto"/>
          <w:szCs w:val="24"/>
          <w:lang w:val="en-US" w:eastAsia="zh-CN"/>
        </w:rPr>
      </w:pPr>
      <w:r>
        <w:rPr>
          <w:rFonts w:eastAsia="SimSun" w:cs="Times New Roman"/>
          <w:b/>
          <w:bCs/>
          <w:color w:val="auto"/>
          <w:szCs w:val="24"/>
          <w:lang w:val="en-US" w:eastAsia="zh-CN"/>
        </w:rPr>
        <w:t xml:space="preserve">Fig. </w:t>
      </w:r>
      <w:r w:rsidR="00CB6CDB" w:rsidRPr="00CB6CDB">
        <w:rPr>
          <w:rFonts w:eastAsia="SimSun" w:cs="Times New Roman"/>
          <w:b/>
          <w:bCs/>
          <w:color w:val="auto"/>
          <w:szCs w:val="24"/>
          <w:lang w:val="en-US" w:eastAsia="zh-CN"/>
        </w:rPr>
        <w:t>7: Model for the implementation guideline</w:t>
      </w:r>
    </w:p>
    <w:p w14:paraId="7DBADE1B" w14:textId="77777777" w:rsidR="00CB6CDB" w:rsidRPr="00CB6CDB" w:rsidRDefault="00CB6CDB" w:rsidP="008724AA">
      <w:pPr>
        <w:shd w:val="clear" w:color="auto" w:fill="FFFFFF"/>
        <w:spacing w:before="100" w:beforeAutospacing="1" w:after="255" w:afterAutospacing="1" w:line="360" w:lineRule="auto"/>
        <w:rPr>
          <w:rFonts w:cs="Times New Roman"/>
          <w:color w:val="auto"/>
          <w:szCs w:val="24"/>
        </w:rPr>
      </w:pPr>
      <w:r w:rsidRPr="00CB6CDB">
        <w:rPr>
          <w:rFonts w:cs="Times New Roman"/>
          <w:color w:val="auto"/>
          <w:szCs w:val="24"/>
        </w:rPr>
        <w:t>To enhance the execution of the corporate governance framework at ZESA, the initial step is to guarantee that the leadership is fully dedicated to upholding the utmost standards of ethical conduct and governance. The researcher found that most of the participants disagreed with the idea that CGF (Corporate Governance Framework) may limit opportunities for complacency and fraud. This was supported by the mean score of 2.17. The study's findings validate Moore's (2012) assertion that the optimal performance of a company is directly connected to corporate governance. This is because corporate governance enables shareholders to understand how they may ensure a return on their investment. Consequently, it is imperative for leaders to demonstrate commitment in order to bridge these gaps. Interviews confirmed this assertion when one participant expressed that:</w:t>
      </w:r>
    </w:p>
    <w:p w14:paraId="04E7B65C" w14:textId="77777777" w:rsidR="00CB6CDB" w:rsidRPr="00CB6CDB" w:rsidRDefault="00CB6CDB" w:rsidP="008724AA">
      <w:pPr>
        <w:shd w:val="clear" w:color="auto" w:fill="FFFFFF"/>
        <w:spacing w:before="100" w:beforeAutospacing="1" w:after="255" w:afterAutospacing="1" w:line="360" w:lineRule="auto"/>
        <w:ind w:left="720" w:firstLine="0"/>
        <w:rPr>
          <w:rFonts w:cs="Times New Roman"/>
          <w:i/>
          <w:iCs/>
          <w:color w:val="auto"/>
          <w:szCs w:val="24"/>
        </w:rPr>
      </w:pPr>
      <w:r w:rsidRPr="00CB6CDB">
        <w:rPr>
          <w:rFonts w:cs="Times New Roman"/>
          <w:i/>
          <w:iCs/>
          <w:color w:val="auto"/>
          <w:szCs w:val="24"/>
        </w:rPr>
        <w:t xml:space="preserve">“Leadership plays a crucial role in the implementation of the corporate governance framework by fostering an ethical culture within the corporation. This can be accomplished by creating and disseminating a code of conduct that clearly defines </w:t>
      </w:r>
      <w:r w:rsidRPr="00CB6CDB">
        <w:rPr>
          <w:rFonts w:cs="Times New Roman"/>
          <w:i/>
          <w:iCs/>
          <w:color w:val="auto"/>
          <w:szCs w:val="24"/>
        </w:rPr>
        <w:lastRenderedPageBreak/>
        <w:t>desired behaviours, along with offering frequent training on making ethical decisions”.</w:t>
      </w:r>
    </w:p>
    <w:p w14:paraId="484BA756"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The second phase is assuring the efficacy of the Board by focusing on its makeup and independence. The composition of the board of directors should consist of members possessing a wide range of talents, experiences, and desired backgrounds in order to guarantee efficient supervision and decision-making. However, the study did not indicate the presence of such diversity. The board, along with its sub-committees, should be well equipped to carry out its duties. It is crucial to note that the survey found that most of the participants opted for a neutral stance (with a mean score of 3.19) when asked about whether sub-committees have sufficient and appropriate resources to carry out their responsibilities. The neutrality of the respondents can be understood by considering the influence of external circumstances, as suggested by </w:t>
      </w:r>
      <w:r w:rsidR="004D3ED2">
        <w:rPr>
          <w:rFonts w:cs="Times New Roman"/>
          <w:color w:val="auto"/>
          <w:szCs w:val="24"/>
        </w:rPr>
        <w:fldChar w:fldCharType="begin" w:fldLock="1"/>
      </w:r>
      <w:r w:rsidR="004D3ED2">
        <w:rPr>
          <w:rFonts w:cs="Times New Roman"/>
          <w:color w:val="auto"/>
          <w:szCs w:val="24"/>
        </w:rPr>
        <w:instrText>ADDIN CSL_CITATION {"citationItems":[{"id":"ITEM-1","itemData":{"DOI":"10.4324/9780429439919-3","ISBN":"9780429439919","author":[{"dropping-particle":"","family":"Wright","given":"Chris F.","non-dropping-particle":"","parse-names":false,"suffix":""},{"dropping-particle":"","family":"Lansbury","given":"Russell D.","non-dropping-particle":"","parse-names":false,"suffix":""}],"container-title":"Contemporary Issues in Work and Organisations: Actors and Institutions","id":"ITEM-1","issue":"August 2019","issued":{"date-parts":[["2019"]]},"page":"12-26","title":"A dynamic work systems approach for analysing employment relations","type":"article-journal"},"uris":["http://www.mendeley.com/documents/?uuid=712e6887-fb96-4a66-a55e-0df4817f7985"]}],"mendeley":{"formattedCitation":"(Wright &amp; Lansbury, 2019)","plainTextFormattedCitation":"(Wright &amp; Lansbury, 2019)","previouslyFormattedCitation":"(Wright &amp; Lansbury, 2019)"},"properties":{"noteIndex":0},"schema":"https://github.com/citation-style-language/schema/raw/master/csl-citation.json"}</w:instrText>
      </w:r>
      <w:r w:rsidR="004D3ED2">
        <w:rPr>
          <w:rFonts w:cs="Times New Roman"/>
          <w:color w:val="auto"/>
          <w:szCs w:val="24"/>
        </w:rPr>
        <w:fldChar w:fldCharType="separate"/>
      </w:r>
      <w:r w:rsidR="004D3ED2" w:rsidRPr="004D3ED2">
        <w:rPr>
          <w:rFonts w:cs="Times New Roman"/>
          <w:noProof/>
          <w:color w:val="auto"/>
          <w:szCs w:val="24"/>
        </w:rPr>
        <w:t>(Wright &amp; Lansbury, 2019)</w:t>
      </w:r>
      <w:r w:rsidR="004D3ED2">
        <w:rPr>
          <w:rFonts w:cs="Times New Roman"/>
          <w:color w:val="auto"/>
          <w:szCs w:val="24"/>
        </w:rPr>
        <w:fldChar w:fldCharType="end"/>
      </w:r>
      <w:r w:rsidRPr="00CB6CDB">
        <w:rPr>
          <w:rFonts w:cs="Times New Roman"/>
          <w:color w:val="auto"/>
          <w:szCs w:val="24"/>
        </w:rPr>
        <w:t xml:space="preserve"> who posit that respondents may choose to give neutral responses when they are afraid of the consequences of expressing their true opinions.</w:t>
      </w:r>
    </w:p>
    <w:p w14:paraId="195F65C3" w14:textId="77777777" w:rsidR="00C567EF"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Furthermore, it is crucial to guarantee that the board members possess independence and are devoid of any conflicts of interest. One way to accomplish this is by setting specific standards for autonomy and consistently evaluating the independence of the board. This aligns with the conclusions of </w:t>
      </w:r>
      <w:r w:rsidR="004D3ED2">
        <w:rPr>
          <w:rFonts w:cs="Times New Roman"/>
          <w:color w:val="auto"/>
          <w:szCs w:val="24"/>
        </w:rPr>
        <w:fldChar w:fldCharType="begin" w:fldLock="1"/>
      </w:r>
      <w:r w:rsidR="004D3ED2">
        <w:rPr>
          <w:rFonts w:cs="Times New Roman"/>
          <w:color w:val="auto"/>
          <w:szCs w:val="24"/>
        </w:rPr>
        <w:instrText>ADDIN CSL_CITATION {"citationItems":[{"id":"ITEM-1","itemData":{"DOI":"10.47729/indicators.v3i2.93","ISSN":"2685-5763","abstract":"The main purpose of this study is to examine the impact of the corporate governance mechanism on firm performance. The variables, employed in this study to measure firm performance, include return on assets, stock return and Tobin's Q. The empirical results indicate that firm performance is in negative and significant relation to board size, CEO duality, stock pledge ratio and deviation between voting right and cash flow right. On the other hand, firm performance is in positive and significant relation to board independence and insider ownership.","author":[{"dropping-particle":"","family":"Marashdeh","given":"Z.M.S.","non-dropping-particle":"","parse-names":false,"suffix":""}],"container-title":"Indicators : Journal of Economic and Business","id":"ITEM-1","issue":"2","issued":{"date-parts":[["2021"]]},"page":"132-142","title":"The Effect of Corporate Governance on Firm Performance","type":"article-journal","volume":"3"},"uris":["http://www.mendeley.com/documents/?uuid=a4131b74-1fbc-4163-b3ec-9175bc51f0c3"]}],"mendeley":{"formattedCitation":"(Marashdeh, 2021)","manualFormatting":"Marashdeh (2021)","plainTextFormattedCitation":"(Marashdeh, 2021)","previouslyFormattedCitation":"(Marashdeh, 2021)"},"properties":{"noteIndex":0},"schema":"https://github.com/citation-style-language/schema/raw/master/csl-citation.json"}</w:instrText>
      </w:r>
      <w:r w:rsidR="004D3ED2">
        <w:rPr>
          <w:rFonts w:cs="Times New Roman"/>
          <w:color w:val="auto"/>
          <w:szCs w:val="24"/>
        </w:rPr>
        <w:fldChar w:fldCharType="separate"/>
      </w:r>
      <w:r w:rsidR="004D3ED2">
        <w:rPr>
          <w:rFonts w:cs="Times New Roman"/>
          <w:noProof/>
          <w:color w:val="auto"/>
          <w:szCs w:val="24"/>
        </w:rPr>
        <w:t>Marashdeh</w:t>
      </w:r>
      <w:r w:rsidR="004D3ED2" w:rsidRPr="004D3ED2">
        <w:rPr>
          <w:rFonts w:cs="Times New Roman"/>
          <w:noProof/>
          <w:color w:val="auto"/>
          <w:szCs w:val="24"/>
        </w:rPr>
        <w:t xml:space="preserve"> </w:t>
      </w:r>
      <w:r w:rsidR="004D3ED2">
        <w:rPr>
          <w:rFonts w:cs="Times New Roman"/>
          <w:noProof/>
          <w:color w:val="auto"/>
          <w:szCs w:val="24"/>
        </w:rPr>
        <w:t>(</w:t>
      </w:r>
      <w:r w:rsidR="004D3ED2" w:rsidRPr="004D3ED2">
        <w:rPr>
          <w:rFonts w:cs="Times New Roman"/>
          <w:noProof/>
          <w:color w:val="auto"/>
          <w:szCs w:val="24"/>
        </w:rPr>
        <w:t>2021)</w:t>
      </w:r>
      <w:r w:rsidR="004D3ED2">
        <w:rPr>
          <w:rFonts w:cs="Times New Roman"/>
          <w:color w:val="auto"/>
          <w:szCs w:val="24"/>
        </w:rPr>
        <w:fldChar w:fldCharType="end"/>
      </w:r>
      <w:r w:rsidRPr="00CB6CDB">
        <w:rPr>
          <w:rFonts w:cs="Times New Roman"/>
          <w:color w:val="auto"/>
          <w:szCs w:val="24"/>
        </w:rPr>
        <w:t>, who found that effective board oversight is crucial for every organization as it provides strategic guidance. In its absence, decisions that are not in the organization's best interest may be taken.</w:t>
      </w:r>
    </w:p>
    <w:p w14:paraId="7BCFA34E" w14:textId="77777777" w:rsidR="00C567EF" w:rsidRDefault="00CB6CDB" w:rsidP="008724AA">
      <w:pPr>
        <w:shd w:val="clear" w:color="auto" w:fill="FFFFFF"/>
        <w:spacing w:line="360" w:lineRule="auto"/>
        <w:rPr>
          <w:rFonts w:cs="Times New Roman"/>
          <w:color w:val="auto"/>
          <w:szCs w:val="24"/>
        </w:rPr>
      </w:pPr>
      <w:r w:rsidRPr="00CB6CDB">
        <w:rPr>
          <w:rFonts w:cs="Times New Roman"/>
          <w:color w:val="auto"/>
          <w:szCs w:val="24"/>
        </w:rPr>
        <w:t>The third phase involves the establishment and execution of a risk management framework. The framework is crucial for the identification, evaluation, and reduction of risks that may affect ZESA's operations and reputation. In addition, the framework would include robust internal controls to protect assets, ensure the accuracy of financial reporting, and ensure compliance with laws and regulations.</w:t>
      </w:r>
    </w:p>
    <w:p w14:paraId="67B8F3C0"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The fourth phase entails implementing transparent financial reporting standards, which is crucial for establishing confidence with stakeholders. ZESA shall comply with global accounting standards and furnish transparent, precise, and punctual financial data. The </w:t>
      </w:r>
      <w:r w:rsidRPr="00CB6CDB">
        <w:rPr>
          <w:rFonts w:cs="Times New Roman"/>
          <w:color w:val="auto"/>
          <w:szCs w:val="24"/>
        </w:rPr>
        <w:lastRenderedPageBreak/>
        <w:t>analysis revealed that ZESA has deficiencies in its financial reporting methods, as noted by several key informants. One of the respondents revealed that:</w:t>
      </w:r>
    </w:p>
    <w:p w14:paraId="3D6BF5E0" w14:textId="77777777" w:rsidR="00CB6CDB" w:rsidRPr="00CB6CDB" w:rsidRDefault="00CB6CDB" w:rsidP="008724AA">
      <w:pPr>
        <w:shd w:val="clear" w:color="auto" w:fill="FFFFFF"/>
        <w:spacing w:before="100" w:beforeAutospacing="1" w:after="255" w:afterAutospacing="1" w:line="360" w:lineRule="auto"/>
        <w:ind w:left="720" w:firstLine="0"/>
        <w:rPr>
          <w:rFonts w:cs="Times New Roman"/>
          <w:i/>
          <w:iCs/>
          <w:color w:val="auto"/>
          <w:szCs w:val="24"/>
        </w:rPr>
      </w:pPr>
      <w:r w:rsidRPr="00CB6CDB">
        <w:rPr>
          <w:rFonts w:cs="Times New Roman"/>
          <w:i/>
          <w:iCs/>
          <w:color w:val="auto"/>
          <w:szCs w:val="24"/>
        </w:rPr>
        <w:t>“…the International Financial Reporting Standards (IFRS) mandates organizations to constantly adhere to accounting procedures over time, unless there is a valid justification for altering them. However, ZESA routinely modifies its accounting policies or implements them in an inconsistent manner, indicating a lack of adherence to IFRS”.</w:t>
      </w:r>
    </w:p>
    <w:p w14:paraId="71C46624" w14:textId="77777777" w:rsidR="00C567EF" w:rsidRDefault="00CB6CDB" w:rsidP="008724AA">
      <w:pPr>
        <w:shd w:val="clear" w:color="auto" w:fill="FFFFFF"/>
        <w:spacing w:line="360" w:lineRule="auto"/>
        <w:rPr>
          <w:rFonts w:cs="Times New Roman"/>
          <w:color w:val="auto"/>
          <w:szCs w:val="24"/>
        </w:rPr>
      </w:pPr>
      <w:r w:rsidRPr="00CB6CDB">
        <w:rPr>
          <w:rFonts w:cs="Times New Roman"/>
          <w:color w:val="auto"/>
          <w:szCs w:val="24"/>
        </w:rPr>
        <w:t>The remark above emphasizes the importance of complying with international standards in the context of financial reporting. This would enhance the execution of the corporate governance system. The study also determined the necessity of engaging in open and transparent communication with stakeholders, including as shareholders, employees, consumers, and regulators, in order to uphold trust and confidence. The literature analysis revealed that ZESA lacks transparent and open communication with stakeholders, as its official outlets, such as its website, do not provide current information on the organization. The organization's financial situation, performance measures, and important initiatives, which should be easily accessible, are not readily accessible. Hence, it is imperative to enhance the degree of transparency with stakeholders in the execution of the corporate governance structure.</w:t>
      </w:r>
    </w:p>
    <w:p w14:paraId="168F7621"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The last stage involves implementing a consistent monitoring and assessment of key performance indicators (KPIs) associated with corporate governance to track advancement and pinpoint areas that require enhancement. An indication that ZESA does not consistently monitor and assess its Key Performance Indicators (KPIs) is the absence of transparency and public accessibility of its information, as previously determined in the study. Mare &amp; Mate (2017) state that a proficient organization that emphasizes enhancing performance would consistently release and revise its Key Performance Indicators (KPIs), enabling stakeholders to ensure the corporation is responsible for its advancement. Regular reviews of the effectiveness of the corporate governance structure can be accomplished by conducting </w:t>
      </w:r>
      <w:r w:rsidRPr="00CB6CDB">
        <w:rPr>
          <w:rFonts w:cs="Times New Roman"/>
          <w:color w:val="auto"/>
          <w:szCs w:val="24"/>
        </w:rPr>
        <w:lastRenderedPageBreak/>
        <w:t xml:space="preserve">internal audits or outside evaluations. This supports the conclusions made by </w:t>
      </w:r>
      <w:r w:rsidR="004D3ED2">
        <w:rPr>
          <w:rFonts w:cs="Times New Roman"/>
          <w:color w:val="auto"/>
          <w:szCs w:val="24"/>
        </w:rPr>
        <w:fldChar w:fldCharType="begin" w:fldLock="1"/>
      </w:r>
      <w:r w:rsidR="004D3ED2">
        <w:rPr>
          <w:rFonts w:cs="Times New Roman"/>
          <w:color w:val="auto"/>
          <w:szCs w:val="24"/>
        </w:rPr>
        <w:instrText>ADDIN CSL_CITATION {"citationItems":[{"id":"ITEM-1","itemData":{"DOI":"10.1080/21632324.2017.1285850","ISSN":"2163-2324","abstract":"The attainment of independence by most African states did not bring about sustainable peace because of socio-economic and political challenges that pitted citizens of the same country, one against ...","author":[{"dropping-particle":"","family":"Hove","given":"Mediel","non-dropping-particle":"","parse-names":false,"suffix":""},{"dropping-particle":"","family":"Ndawana","given":"Enock","non-dropping-particle":"","parse-names":false,"suffix":""}],"container-title":"Migration and Development","id":"ITEM-1","issue":"2","issued":{"date-parts":[["2018","6"]]},"page":"201-221","publisher":"SAGE Publications","title":"National instability as a threat to Africa's vision to transform borders from barriers into bridges of development","type":"article-journal","volume":"7"},"uris":["http://www.mendeley.com/documents/?uuid=f29adae9-ad70-33cb-b616-83dd95d738c4"]}],"mendeley":{"formattedCitation":"(Hove &amp; Ndawana, 2018)","manualFormatting":"Hove &amp; Ndawana (2018)","plainTextFormattedCitation":"(Hove &amp; Ndawana, 2018)","previouslyFormattedCitation":"(Hove &amp; Ndawana, 2018)"},"properties":{"noteIndex":0},"schema":"https://github.com/citation-style-language/schema/raw/master/csl-citation.json"}</w:instrText>
      </w:r>
      <w:r w:rsidR="004D3ED2">
        <w:rPr>
          <w:rFonts w:cs="Times New Roman"/>
          <w:color w:val="auto"/>
          <w:szCs w:val="24"/>
        </w:rPr>
        <w:fldChar w:fldCharType="separate"/>
      </w:r>
      <w:r w:rsidR="004D3ED2">
        <w:rPr>
          <w:rFonts w:cs="Times New Roman"/>
          <w:noProof/>
          <w:color w:val="auto"/>
          <w:szCs w:val="24"/>
        </w:rPr>
        <w:t>Hove &amp; Ndawana</w:t>
      </w:r>
      <w:r w:rsidR="004D3ED2" w:rsidRPr="004D3ED2">
        <w:rPr>
          <w:rFonts w:cs="Times New Roman"/>
          <w:noProof/>
          <w:color w:val="auto"/>
          <w:szCs w:val="24"/>
        </w:rPr>
        <w:t xml:space="preserve"> </w:t>
      </w:r>
      <w:r w:rsidR="004D3ED2">
        <w:rPr>
          <w:rFonts w:cs="Times New Roman"/>
          <w:noProof/>
          <w:color w:val="auto"/>
          <w:szCs w:val="24"/>
        </w:rPr>
        <w:t>(</w:t>
      </w:r>
      <w:r w:rsidR="004D3ED2" w:rsidRPr="004D3ED2">
        <w:rPr>
          <w:rFonts w:cs="Times New Roman"/>
          <w:noProof/>
          <w:color w:val="auto"/>
          <w:szCs w:val="24"/>
        </w:rPr>
        <w:t>2018)</w:t>
      </w:r>
      <w:r w:rsidR="004D3ED2">
        <w:rPr>
          <w:rFonts w:cs="Times New Roman"/>
          <w:color w:val="auto"/>
          <w:szCs w:val="24"/>
        </w:rPr>
        <w:fldChar w:fldCharType="end"/>
      </w:r>
      <w:r w:rsidRPr="00CB6CDB">
        <w:rPr>
          <w:rFonts w:cs="Times New Roman"/>
          <w:color w:val="auto"/>
          <w:szCs w:val="24"/>
        </w:rPr>
        <w:t>, who determined that ZESA's assessment procedures have been criticized because they lack distinct performance indicators and benchmarks. This hinders the evaluation of the organization's strategies and activities, as well as the identification of areas that need development.</w:t>
      </w:r>
    </w:p>
    <w:p w14:paraId="18B39DFE" w14:textId="77777777" w:rsidR="00CB6CDB" w:rsidRDefault="00C567EF" w:rsidP="008724AA">
      <w:pPr>
        <w:pStyle w:val="Heading1"/>
        <w:spacing w:line="360" w:lineRule="auto"/>
        <w:rPr>
          <w:lang w:eastAsia="en-US"/>
        </w:rPr>
      </w:pPr>
      <w:bookmarkStart w:id="21" w:name="_Toc105751106"/>
      <w:bookmarkStart w:id="22" w:name="_Toc105751562"/>
      <w:bookmarkStart w:id="23" w:name="_Toc105752253"/>
      <w:bookmarkStart w:id="24" w:name="_Toc105761510"/>
      <w:bookmarkStart w:id="25" w:name="_Toc105761616"/>
      <w:bookmarkStart w:id="26" w:name="_Toc105761912"/>
      <w:bookmarkStart w:id="27" w:name="_Toc105764642"/>
      <w:bookmarkStart w:id="28" w:name="_Toc105764751"/>
      <w:bookmarkStart w:id="29" w:name="_Toc105843713"/>
      <w:bookmarkStart w:id="30" w:name="_Toc105879146"/>
      <w:bookmarkStart w:id="31" w:name="_Toc106208030"/>
      <w:bookmarkStart w:id="32" w:name="_Toc106217239"/>
      <w:bookmarkStart w:id="33" w:name="_Toc106226194"/>
      <w:bookmarkStart w:id="34" w:name="_Toc106226413"/>
      <w:bookmarkStart w:id="35" w:name="_Toc106609788"/>
      <w:bookmarkStart w:id="36" w:name="_Toc106609884"/>
      <w:bookmarkStart w:id="37" w:name="_Toc106610772"/>
      <w:bookmarkStart w:id="38" w:name="_Toc106619231"/>
      <w:bookmarkStart w:id="39" w:name="_Toc106707857"/>
      <w:bookmarkStart w:id="40" w:name="_Toc107081533"/>
      <w:bookmarkStart w:id="41" w:name="_Toc107180468"/>
      <w:bookmarkStart w:id="42" w:name="_Toc107180579"/>
      <w:bookmarkStart w:id="43" w:name="_Toc107182938"/>
      <w:bookmarkStart w:id="44" w:name="_Toc107228853"/>
      <w:bookmarkStart w:id="45" w:name="_Toc107234669"/>
      <w:bookmarkStart w:id="46" w:name="_Toc107235161"/>
      <w:bookmarkStart w:id="47" w:name="_Toc107237562"/>
      <w:bookmarkStart w:id="48" w:name="_Toc107584617"/>
      <w:bookmarkStart w:id="49" w:name="_Toc107584756"/>
      <w:bookmarkStart w:id="50" w:name="_Toc161274356"/>
      <w:bookmarkStart w:id="51" w:name="_Toc161652740"/>
      <w:bookmarkStart w:id="52" w:name="_Toc16165449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C567EF">
        <w:rPr>
          <w:lang w:eastAsia="en-US"/>
        </w:rPr>
        <w:t>Summary, Conclusions and Recommendations</w:t>
      </w:r>
    </w:p>
    <w:p w14:paraId="3DC0D01F" w14:textId="77777777" w:rsidR="00CB6CDB" w:rsidRPr="00CB6CDB" w:rsidRDefault="00CB6CDB" w:rsidP="008724AA">
      <w:pPr>
        <w:pStyle w:val="Heading1"/>
        <w:spacing w:line="360" w:lineRule="auto"/>
        <w:rPr>
          <w:lang w:eastAsia="en-US"/>
        </w:rPr>
      </w:pPr>
      <w:bookmarkStart w:id="53" w:name="_Toc106619232"/>
      <w:bookmarkStart w:id="54" w:name="_Toc106707858"/>
      <w:bookmarkStart w:id="55" w:name="_Toc107081534"/>
      <w:bookmarkStart w:id="56" w:name="_Toc107180469"/>
      <w:bookmarkStart w:id="57" w:name="_Toc107180580"/>
      <w:bookmarkStart w:id="58" w:name="_Toc107182939"/>
      <w:bookmarkStart w:id="59" w:name="_Toc107228854"/>
      <w:bookmarkStart w:id="60" w:name="_Toc107234670"/>
      <w:bookmarkStart w:id="61" w:name="_Toc107235162"/>
      <w:bookmarkStart w:id="62" w:name="_Toc107237563"/>
      <w:bookmarkStart w:id="63" w:name="_Toc107584618"/>
      <w:bookmarkStart w:id="64" w:name="_Toc107584757"/>
      <w:bookmarkStart w:id="65" w:name="_Toc161274357"/>
      <w:bookmarkStart w:id="66" w:name="_Toc161652741"/>
      <w:bookmarkStart w:id="67" w:name="_Toc161654491"/>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28FD0D9B"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The objective of the study was to create a set of instructions for implementing a corporate governance framework in state-owned enterprises (SOEs), with the Zimbabwe Electricity Supply Authority (ZESA) serving as a specific example. The study was driven by five primary research aims. The objectives of this study are as follows: (1) to clarify the understanding of the Corporate Governance Framework at ZESA, (2) to </w:t>
      </w:r>
      <w:proofErr w:type="spellStart"/>
      <w:r w:rsidRPr="00CB6CDB">
        <w:rPr>
          <w:rFonts w:cs="Times New Roman"/>
          <w:color w:val="auto"/>
          <w:szCs w:val="24"/>
        </w:rPr>
        <w:t>analyze</w:t>
      </w:r>
      <w:proofErr w:type="spellEnd"/>
      <w:r w:rsidRPr="00CB6CDB">
        <w:rPr>
          <w:rFonts w:cs="Times New Roman"/>
          <w:color w:val="auto"/>
          <w:szCs w:val="24"/>
        </w:rPr>
        <w:t xml:space="preserve"> the institutional governance practices in ZESA, (3) to identify the indicators of effective corporate governance practices in ZESA, (4) to identify the indicators of limited good corporate governance practice in ZESA, and (5) to create a guide for implementing the Corporate Governance Framework.</w:t>
      </w:r>
    </w:p>
    <w:p w14:paraId="0EFFACB5"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In addition, the study employed a mixed methodological and convergent research design, utilizing a standardized questionnaire and interview guide. The findings were given in Chapter four. Thus, this chapter finishes by highlighting these points, offering suggestions, and outlining potential avenues for future research. Thus, the study determined that most of the participants possessed a sound comprehension of corporate governance at ZESA, and identified the presence of certain institutional governance procedures implemented at ZESA. Moreover, the study revealed a correlation between ZESA's operations and practices in assessing its adherence to the corporate governance framework. The results were in line with those of ZEST (2021), which indicated that ZESA exhibits a dedication to corporate governance principles, but there are areas in which the organization can enhance its performance. </w:t>
      </w:r>
    </w:p>
    <w:p w14:paraId="0191547B" w14:textId="77777777" w:rsidR="00CB6CDB" w:rsidRPr="00CB6CDB" w:rsidRDefault="00CB6CDB" w:rsidP="008724AA">
      <w:pPr>
        <w:pStyle w:val="Heading1"/>
        <w:spacing w:line="360" w:lineRule="auto"/>
        <w:rPr>
          <w:lang w:eastAsia="en-US"/>
        </w:rPr>
      </w:pPr>
      <w:bookmarkStart w:id="68" w:name="_Toc107584760"/>
      <w:bookmarkStart w:id="69" w:name="_Toc161654494"/>
      <w:r w:rsidRPr="00CB6CDB">
        <w:rPr>
          <w:lang w:eastAsia="en-US"/>
        </w:rPr>
        <w:t>Conclusions of the Study</w:t>
      </w:r>
      <w:bookmarkEnd w:id="68"/>
      <w:bookmarkEnd w:id="69"/>
    </w:p>
    <w:p w14:paraId="3F62930E"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lastRenderedPageBreak/>
        <w:t>The primary aim of the study was to determine the level of comprehension of the Corporate Governance Framework at ZESA. The survey results indicate that the respondents largely agreed with the five concepts used to assess the comprehension of the corporate governance framework at ZESA. This is supported by an overall mean score of 3.91. Furthermore, the phrase 'governance' was cited by the key informants from various significant viewpoints, including institutional, practices, framework, and corporate. Hence, the study's findings indicated that most of the respondents comprehended the concept of corporate governance in relation to ZESA.</w:t>
      </w:r>
    </w:p>
    <w:p w14:paraId="43B0458C" w14:textId="77777777" w:rsidR="00C567EF"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The second objective aimed to </w:t>
      </w:r>
      <w:proofErr w:type="spellStart"/>
      <w:r w:rsidRPr="00CB6CDB">
        <w:rPr>
          <w:rFonts w:cs="Times New Roman"/>
          <w:color w:val="auto"/>
          <w:szCs w:val="24"/>
        </w:rPr>
        <w:t>analyze</w:t>
      </w:r>
      <w:proofErr w:type="spellEnd"/>
      <w:r w:rsidRPr="00CB6CDB">
        <w:rPr>
          <w:rFonts w:cs="Times New Roman"/>
          <w:color w:val="auto"/>
          <w:szCs w:val="24"/>
        </w:rPr>
        <w:t xml:space="preserve"> the institutional governance processes at ZESA. The study found that ZESA implements several corporate governance principles, as indicated by the significant proportion of respondents who consistently answered 'always' to all the variables used to measure this feature. The survey participants concurred that the board convened at least four times per year. The study found that the highest level of disapproval, at 34%, was detected when examining whether the board had independent access to senior management staff.</w:t>
      </w:r>
    </w:p>
    <w:p w14:paraId="5C68D969" w14:textId="77777777" w:rsidR="00C567EF" w:rsidRDefault="00CB6CDB" w:rsidP="008724AA">
      <w:pPr>
        <w:shd w:val="clear" w:color="auto" w:fill="FFFFFF"/>
        <w:spacing w:line="360" w:lineRule="auto"/>
        <w:rPr>
          <w:rFonts w:cs="Times New Roman"/>
          <w:color w:val="auto"/>
          <w:szCs w:val="24"/>
        </w:rPr>
      </w:pPr>
      <w:r w:rsidRPr="00CB6CDB">
        <w:rPr>
          <w:rFonts w:cs="Times New Roman"/>
          <w:color w:val="auto"/>
          <w:szCs w:val="24"/>
        </w:rPr>
        <w:t>The third objective aimed to produce measures that accurately represent the implementation of effective corporate governance processes at ZESA. The study findings indicate that the most commonly cited metrics were accountability, engagement, and stakeholder engagement. The fourth objective aimed to determine the degree to which ZESA adheres to the requirements of the corporate governance framework. A regression analysis was conducted to examine this aspect. The findings indicate a positive linear relationship between the measured variables, with a 60.8% observed compliance of ZESA with the principles of corporate governance. This indicated a correlation between ZESA's operations and practices in assessing its adherence to the corporate governance framework.</w:t>
      </w:r>
    </w:p>
    <w:p w14:paraId="3D696AE9"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The ultimate goal was to create a model that would enhance the execution of the corporate governance framework in ZESA. The study has shown that improving the application of the corporate governance framework in ZESA necessitates a complete model that encompasses openness, accountability, and ethical decision-making. The model </w:t>
      </w:r>
      <w:r w:rsidRPr="00CB6CDB">
        <w:rPr>
          <w:rFonts w:cs="Times New Roman"/>
          <w:color w:val="auto"/>
          <w:szCs w:val="24"/>
        </w:rPr>
        <w:lastRenderedPageBreak/>
        <w:t xml:space="preserve">emphasizes that the leadership of the institution must be dedicated to maintaining high standards of ethical conduct and governance practice. </w:t>
      </w:r>
    </w:p>
    <w:p w14:paraId="1037375A" w14:textId="77777777" w:rsidR="00CB6CDB" w:rsidRPr="00CB6CDB" w:rsidRDefault="00CB6CDB" w:rsidP="008724AA">
      <w:pPr>
        <w:pStyle w:val="Heading1"/>
        <w:spacing w:line="360" w:lineRule="auto"/>
        <w:rPr>
          <w:lang w:eastAsia="en-US"/>
        </w:rPr>
      </w:pPr>
      <w:bookmarkStart w:id="70" w:name="_Toc107584761"/>
      <w:bookmarkStart w:id="71" w:name="_Toc161654495"/>
      <w:r w:rsidRPr="00CB6CDB">
        <w:rPr>
          <w:lang w:eastAsia="en-US"/>
        </w:rPr>
        <w:t>Research Implications</w:t>
      </w:r>
      <w:bookmarkEnd w:id="70"/>
      <w:bookmarkEnd w:id="71"/>
    </w:p>
    <w:p w14:paraId="31532ED8" w14:textId="77777777" w:rsidR="00C567EF" w:rsidRDefault="00CB6CDB" w:rsidP="008724AA">
      <w:pPr>
        <w:spacing w:after="160" w:line="360" w:lineRule="auto"/>
        <w:rPr>
          <w:rFonts w:cs="Times New Roman"/>
          <w:color w:val="auto"/>
          <w:szCs w:val="24"/>
          <w:lang w:val="en-US" w:eastAsia="en-US"/>
        </w:rPr>
      </w:pPr>
      <w:r w:rsidRPr="00CB6CDB">
        <w:rPr>
          <w:rFonts w:eastAsia="SimSun" w:cs="Times New Roman"/>
          <w:color w:val="auto"/>
          <w:szCs w:val="24"/>
          <w:lang w:val="en-US" w:eastAsia="zh-CN"/>
        </w:rPr>
        <w:t xml:space="preserve">Corporate governance is a critical aspect of any organization, particularly in the public sector. The Zimbabwe Electricity Supply Authority (ZESA) is no exception. </w:t>
      </w:r>
      <w:r w:rsidRPr="00CB6CDB">
        <w:rPr>
          <w:rFonts w:cs="Times New Roman"/>
          <w:color w:val="auto"/>
          <w:szCs w:val="24"/>
          <w:lang w:val="en-US" w:eastAsia="en-US"/>
        </w:rPr>
        <w:t>The conclusions of the study indicated that the study has a contribution to both the organization ZESA and policymakers in Zimbabwe as discussed below:</w:t>
      </w:r>
    </w:p>
    <w:p w14:paraId="5F38E251" w14:textId="77777777" w:rsidR="00CB6CDB" w:rsidRPr="00CB6CDB" w:rsidRDefault="00CB6CDB" w:rsidP="008724AA">
      <w:pPr>
        <w:spacing w:after="160" w:line="360" w:lineRule="auto"/>
        <w:rPr>
          <w:rFonts w:cs="Times New Roman"/>
          <w:color w:val="auto"/>
          <w:szCs w:val="24"/>
          <w:lang w:val="en-US" w:eastAsia="en-US"/>
        </w:rPr>
      </w:pPr>
      <w:r w:rsidRPr="00CB6CDB">
        <w:rPr>
          <w:rFonts w:cs="Times New Roman"/>
          <w:color w:val="auto"/>
          <w:szCs w:val="24"/>
        </w:rPr>
        <w:t>The results of this study have important consequences for the organization (ZESA) and the individuals or groups with an interest in it. The suggestions derived from this study are essential for promoting openness, accountability, and ethical conduct inside an organization. Implementing the approach at ZESA would increase the organization's decision-making processes, improve risk management techniques, and reinforce its overall governance structure.</w:t>
      </w:r>
    </w:p>
    <w:p w14:paraId="244F3311" w14:textId="77777777" w:rsidR="00CB6CDB" w:rsidRPr="00CB6CDB" w:rsidRDefault="00CB6CDB" w:rsidP="008724AA">
      <w:pPr>
        <w:pStyle w:val="Heading1"/>
        <w:spacing w:line="360" w:lineRule="auto"/>
        <w:rPr>
          <w:lang w:eastAsia="zh-CN"/>
        </w:rPr>
      </w:pPr>
      <w:r w:rsidRPr="00CB6CDB">
        <w:rPr>
          <w:lang w:eastAsia="zh-CN"/>
        </w:rPr>
        <w:t>Implications of the study on the organization-ZESA</w:t>
      </w:r>
    </w:p>
    <w:p w14:paraId="0D66CD66"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Corporate governance is an essential component of all organizations, especially those in the public sector. Implementing a corporate governance framework at ZESA has the potential to boost investor confidence. An effective corporate governance system demonstrates to investors that the organization is dedicated to being transparent, accountable, and adhering to ethical business standards. The heightened assurance can allure both local and international investors, resulting in amplified capital influx into the company and the capacity to cater to the home and industrial energy consumption demands.</w:t>
      </w:r>
    </w:p>
    <w:p w14:paraId="3BE27AB3" w14:textId="77777777" w:rsidR="00CB6CDB" w:rsidRPr="00CB6CDB" w:rsidRDefault="00CB6CDB" w:rsidP="008724AA">
      <w:pPr>
        <w:shd w:val="clear" w:color="auto" w:fill="FFFFFF"/>
        <w:spacing w:line="360" w:lineRule="auto"/>
        <w:rPr>
          <w:rFonts w:cs="Times New Roman"/>
          <w:color w:val="auto"/>
          <w:szCs w:val="24"/>
        </w:rPr>
      </w:pPr>
      <w:r w:rsidRPr="00CB6CDB">
        <w:rPr>
          <w:rFonts w:cs="Times New Roman"/>
          <w:color w:val="auto"/>
          <w:szCs w:val="24"/>
        </w:rPr>
        <w:t xml:space="preserve">The results of this study can enhance the enforcement of regulations by ZESA. By following defined protocols and optimal methods in corporate governance, the corporation may guarantee compliance with legal obligations and regulatory benchmarks. This further solidifies ZESA's standing as a conscientious corporate entity. Enhanced adherence to regulations can result in streamlined processes, decreased legal liabilities, and a more advantageous business climate that fosters economic expansion. Moreover, implementing efficient corporate governance processes helps optimize operations, minimize inefficiencies, </w:t>
      </w:r>
      <w:r w:rsidRPr="00CB6CDB">
        <w:rPr>
          <w:rFonts w:cs="Times New Roman"/>
          <w:color w:val="auto"/>
          <w:szCs w:val="24"/>
        </w:rPr>
        <w:lastRenderedPageBreak/>
        <w:t xml:space="preserve">and manage hazards inside the firm. By improving decision-making processes and implementing effective oversight, ZESA has the potential to achieve enhanced financial management and performance. This can result in enhanced profitability, enduring expansion, and comprehensive economic advantages for the organization and its stakeholders. </w:t>
      </w:r>
    </w:p>
    <w:p w14:paraId="7A8A0B27" w14:textId="77777777" w:rsidR="00C567EF" w:rsidRDefault="00CB6CDB" w:rsidP="008724AA">
      <w:pPr>
        <w:pStyle w:val="Heading1"/>
        <w:spacing w:line="360" w:lineRule="auto"/>
        <w:rPr>
          <w:rFonts w:eastAsia="SimSun"/>
          <w:bCs/>
          <w:lang w:eastAsia="zh-CN"/>
        </w:rPr>
      </w:pPr>
      <w:bookmarkStart w:id="72" w:name="_Toc107584763"/>
      <w:r w:rsidRPr="00CB6CDB">
        <w:rPr>
          <w:lang w:eastAsia="en-US"/>
        </w:rPr>
        <w:t>Implications of the study on policy</w:t>
      </w:r>
      <w:bookmarkEnd w:id="72"/>
      <w:r w:rsidRPr="00CB6CDB">
        <w:rPr>
          <w:lang w:eastAsia="en-US"/>
        </w:rPr>
        <w:t xml:space="preserve"> </w:t>
      </w:r>
    </w:p>
    <w:p w14:paraId="1CDAC71D" w14:textId="77777777" w:rsidR="00C567EF" w:rsidRDefault="00CB6CDB" w:rsidP="008724AA">
      <w:pPr>
        <w:spacing w:line="360" w:lineRule="auto"/>
        <w:rPr>
          <w:rFonts w:cs="Times New Roman"/>
          <w:color w:val="auto"/>
          <w:szCs w:val="24"/>
        </w:rPr>
      </w:pPr>
      <w:r w:rsidRPr="00CB6CDB">
        <w:rPr>
          <w:rFonts w:cs="Times New Roman"/>
          <w:color w:val="auto"/>
          <w:szCs w:val="24"/>
        </w:rPr>
        <w:t>The study can provide valuable insights for policy decisions targeted at improving openness, accountability, and stakeholder involvement within the business. Furthermore, the study can provide valuable insights for policy makers seeking to improve stakeholder involvement in ZESA. For example, the study can offer valuable understanding of the mechanisms involved in identifying and interacting with stakeholders, as well as the methods for ensuring that stakeholder perspectives are taken into account in decision-making processes. Additionally, this study can contribute to the development of strategies for effectively addressing conflicts of interest among various stakeholder groups. This feature validates the adoption of the Stakeholder Theory in this study.</w:t>
      </w:r>
    </w:p>
    <w:p w14:paraId="10156566" w14:textId="77777777" w:rsidR="00CB6CDB" w:rsidRDefault="00CB6CDB" w:rsidP="008724AA">
      <w:pPr>
        <w:spacing w:line="360" w:lineRule="auto"/>
        <w:rPr>
          <w:rFonts w:cs="Times New Roman"/>
          <w:color w:val="auto"/>
          <w:szCs w:val="24"/>
        </w:rPr>
      </w:pPr>
      <w:r w:rsidRPr="00CB6CDB">
        <w:rPr>
          <w:rFonts w:cs="Times New Roman"/>
          <w:color w:val="auto"/>
          <w:szCs w:val="24"/>
        </w:rPr>
        <w:t xml:space="preserve">Additionally, the study can provide valuable insights for policy decisions aimed at improving accountability in ZESA. The report provides valuable information on how to monitor and evaluate the performance of an organization's leadership, the role of independent auditors, and the methods for addressing instances of non-compliance with corporate governance standards. Furthermore, the research on the establishment of a protocol for adopting a corporate governance structure in ZESA might provide valuable insights for making informed policy choices to improve openness inside the business. </w:t>
      </w:r>
    </w:p>
    <w:p w14:paraId="3B3D9BFA" w14:textId="77777777" w:rsidR="00D042CB" w:rsidRPr="00CB6CDB" w:rsidRDefault="00D042CB" w:rsidP="008724AA">
      <w:pPr>
        <w:spacing w:line="360" w:lineRule="auto"/>
        <w:rPr>
          <w:rFonts w:cs="Times New Roman"/>
          <w:color w:val="auto"/>
          <w:szCs w:val="24"/>
        </w:rPr>
      </w:pPr>
    </w:p>
    <w:p w14:paraId="1FDFC6EF" w14:textId="77777777" w:rsidR="008B66DC" w:rsidRDefault="008B66DC" w:rsidP="008724AA">
      <w:pPr>
        <w:pStyle w:val="Heading1"/>
        <w:spacing w:line="360" w:lineRule="auto"/>
      </w:pPr>
      <w:r w:rsidRPr="008B66DC">
        <w:t>Conclusion and Recommendations</w:t>
      </w:r>
    </w:p>
    <w:p w14:paraId="66DF803C" w14:textId="77777777" w:rsidR="008B66DC" w:rsidRPr="008B66DC" w:rsidRDefault="008B66DC" w:rsidP="008724AA">
      <w:pPr>
        <w:spacing w:line="360" w:lineRule="auto"/>
        <w:rPr>
          <w:lang w:val="en-US"/>
        </w:rPr>
      </w:pPr>
      <w:r w:rsidRPr="008B66DC">
        <w:rPr>
          <w:lang w:val="en-US"/>
        </w:rPr>
        <w:t xml:space="preserve">The study concludes that strengthening the implementation of the corporate governance framework in ZESA and other SOEs in Zimbabwe requires a dedicated leadership committed to high ethical standards and governance practices. The developed guideline provides a comprehensive framework for effectively implementing corporate </w:t>
      </w:r>
      <w:r w:rsidRPr="008B66DC">
        <w:rPr>
          <w:lang w:val="en-US"/>
        </w:rPr>
        <w:lastRenderedPageBreak/>
        <w:t>governance in Zimbabwe's SOEs, emphasizing the importance of openness, accountability, and ethical decision-making.</w:t>
      </w:r>
    </w:p>
    <w:p w14:paraId="27476D97" w14:textId="77777777" w:rsidR="008B66DC" w:rsidRPr="008B66DC" w:rsidRDefault="008B66DC" w:rsidP="008724AA">
      <w:pPr>
        <w:spacing w:line="360" w:lineRule="auto"/>
        <w:rPr>
          <w:lang w:val="en-US"/>
        </w:rPr>
      </w:pPr>
      <w:r w:rsidRPr="008B66DC">
        <w:rPr>
          <w:lang w:val="en-US"/>
        </w:rPr>
        <w:t>Based on the findings, the following recommendations are made:</w:t>
      </w:r>
    </w:p>
    <w:p w14:paraId="7A4413FE" w14:textId="77777777" w:rsidR="008B66DC" w:rsidRPr="008B66DC" w:rsidRDefault="008B66DC" w:rsidP="008724AA">
      <w:pPr>
        <w:numPr>
          <w:ilvl w:val="0"/>
          <w:numId w:val="9"/>
        </w:numPr>
        <w:spacing w:line="360" w:lineRule="auto"/>
        <w:rPr>
          <w:lang w:val="en-US"/>
        </w:rPr>
      </w:pPr>
      <w:r w:rsidRPr="008B66DC">
        <w:rPr>
          <w:lang w:val="en-US"/>
        </w:rPr>
        <w:t>ZESA's leadership should demonstrate a strong commitment to upholding high ethical standards and governance practices, setting the tone at the top.</w:t>
      </w:r>
    </w:p>
    <w:p w14:paraId="20BFE4D2" w14:textId="77777777" w:rsidR="008B66DC" w:rsidRPr="008B66DC" w:rsidRDefault="008B66DC" w:rsidP="008724AA">
      <w:pPr>
        <w:numPr>
          <w:ilvl w:val="0"/>
          <w:numId w:val="9"/>
        </w:numPr>
        <w:spacing w:line="360" w:lineRule="auto"/>
        <w:rPr>
          <w:lang w:val="en-US"/>
        </w:rPr>
      </w:pPr>
      <w:r w:rsidRPr="008B66DC">
        <w:rPr>
          <w:lang w:val="en-US"/>
        </w:rPr>
        <w:t>ZESA should enhance transparency and accountability by regularly publishing financial and operational performance reports, and engaging with stakeholders.</w:t>
      </w:r>
    </w:p>
    <w:p w14:paraId="7CBA1557" w14:textId="77777777" w:rsidR="008B66DC" w:rsidRPr="008B66DC" w:rsidRDefault="008B66DC" w:rsidP="008724AA">
      <w:pPr>
        <w:numPr>
          <w:ilvl w:val="0"/>
          <w:numId w:val="9"/>
        </w:numPr>
        <w:spacing w:line="360" w:lineRule="auto"/>
        <w:rPr>
          <w:lang w:val="en-US"/>
        </w:rPr>
      </w:pPr>
      <w:r w:rsidRPr="008B66DC">
        <w:rPr>
          <w:lang w:val="en-US"/>
        </w:rPr>
        <w:t>ZESA should establish robust risk management and internal control systems to prevent and detect corruption and other forms of mismanagement.</w:t>
      </w:r>
    </w:p>
    <w:p w14:paraId="09D1AEA2" w14:textId="77777777" w:rsidR="008B66DC" w:rsidRPr="008B66DC" w:rsidRDefault="008B66DC" w:rsidP="008724AA">
      <w:pPr>
        <w:numPr>
          <w:ilvl w:val="0"/>
          <w:numId w:val="9"/>
        </w:numPr>
        <w:spacing w:line="360" w:lineRule="auto"/>
        <w:rPr>
          <w:lang w:val="en-US"/>
        </w:rPr>
      </w:pPr>
      <w:r w:rsidRPr="008B66DC">
        <w:rPr>
          <w:lang w:val="en-US"/>
        </w:rPr>
        <w:t>The Zimbabwean government should provide the necessary resources and support to enable ZESA and other SOEs to effectively implement the corporate governance framework.</w:t>
      </w:r>
    </w:p>
    <w:p w14:paraId="4C25326D" w14:textId="77777777" w:rsidR="008B66DC" w:rsidRDefault="008B66DC" w:rsidP="008724AA">
      <w:pPr>
        <w:numPr>
          <w:ilvl w:val="0"/>
          <w:numId w:val="9"/>
        </w:numPr>
        <w:spacing w:line="360" w:lineRule="auto"/>
        <w:rPr>
          <w:lang w:val="en-US"/>
        </w:rPr>
      </w:pPr>
      <w:r w:rsidRPr="008B66DC">
        <w:rPr>
          <w:lang w:val="en-US"/>
        </w:rPr>
        <w:t>Further research should be conducted to explore the implementation of corporate governance in other SOEs in Zimbabwe and assess the impact on their performance and overall contribution to the country's economic development.</w:t>
      </w:r>
    </w:p>
    <w:p w14:paraId="16F5B543" w14:textId="77777777" w:rsidR="00D042CB" w:rsidRDefault="00D042CB" w:rsidP="008724AA">
      <w:pPr>
        <w:spacing w:line="360" w:lineRule="auto"/>
        <w:rPr>
          <w:lang w:val="en-US"/>
        </w:rPr>
      </w:pPr>
    </w:p>
    <w:p w14:paraId="4AB86D38" w14:textId="77777777" w:rsidR="00D042CB" w:rsidRDefault="00D042CB" w:rsidP="008724AA">
      <w:pPr>
        <w:spacing w:line="360" w:lineRule="auto"/>
        <w:rPr>
          <w:lang w:val="en-US"/>
        </w:rPr>
      </w:pPr>
    </w:p>
    <w:p w14:paraId="4A0C5491" w14:textId="7A3E33C6" w:rsidR="008B66DC" w:rsidRDefault="008B66DC" w:rsidP="008724AA">
      <w:pPr>
        <w:pStyle w:val="Heading1"/>
        <w:spacing w:line="360" w:lineRule="auto"/>
      </w:pPr>
      <w:r w:rsidRPr="008B66DC">
        <w:t>References</w:t>
      </w:r>
    </w:p>
    <w:p w14:paraId="561517C4"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4D3ED2">
        <w:rPr>
          <w:rFonts w:cs="Times New Roman"/>
          <w:noProof/>
          <w:szCs w:val="24"/>
        </w:rPr>
        <w:t xml:space="preserve">Agyemang, O. S., &amp; Castellini, M. (2015). Corporate governance in an emergent economy: A case of Ghana. </w:t>
      </w:r>
      <w:r w:rsidRPr="004D3ED2">
        <w:rPr>
          <w:rFonts w:cs="Times New Roman"/>
          <w:i/>
          <w:iCs/>
          <w:noProof/>
          <w:szCs w:val="24"/>
        </w:rPr>
        <w:t>Corporate Governance (Bingley)</w:t>
      </w:r>
      <w:r w:rsidRPr="004D3ED2">
        <w:rPr>
          <w:rFonts w:cs="Times New Roman"/>
          <w:noProof/>
          <w:szCs w:val="24"/>
        </w:rPr>
        <w:t xml:space="preserve">, </w:t>
      </w:r>
      <w:r w:rsidRPr="004D3ED2">
        <w:rPr>
          <w:rFonts w:cs="Times New Roman"/>
          <w:i/>
          <w:iCs/>
          <w:noProof/>
          <w:szCs w:val="24"/>
        </w:rPr>
        <w:t>15</w:t>
      </w:r>
      <w:r w:rsidRPr="004D3ED2">
        <w:rPr>
          <w:rFonts w:cs="Times New Roman"/>
          <w:noProof/>
          <w:szCs w:val="24"/>
        </w:rPr>
        <w:t xml:space="preserve">(1), 52–84. </w:t>
      </w:r>
      <w:hyperlink r:id="rId14" w:history="1">
        <w:r w:rsidRPr="007E4351">
          <w:rPr>
            <w:rStyle w:val="Hyperlink"/>
            <w:rFonts w:cs="Times New Roman"/>
            <w:noProof/>
            <w:szCs w:val="24"/>
          </w:rPr>
          <w:t>https://doi.org/10.1108/CG-04-2013-0051</w:t>
        </w:r>
      </w:hyperlink>
    </w:p>
    <w:p w14:paraId="023D92EC"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Bhasin, M. L. (2017). Integrating Corporate Governance and Forensic Accounting: A Study of an Asian Country. </w:t>
      </w:r>
      <w:r w:rsidRPr="004D3ED2">
        <w:rPr>
          <w:rFonts w:cs="Times New Roman"/>
          <w:i/>
          <w:iCs/>
          <w:noProof/>
          <w:szCs w:val="24"/>
        </w:rPr>
        <w:t>International Journal of Management Sciences and Business Research</w:t>
      </w:r>
      <w:r w:rsidRPr="004D3ED2">
        <w:rPr>
          <w:rFonts w:cs="Times New Roman"/>
          <w:noProof/>
          <w:szCs w:val="24"/>
        </w:rPr>
        <w:t xml:space="preserve">, </w:t>
      </w:r>
      <w:r w:rsidRPr="004D3ED2">
        <w:rPr>
          <w:rFonts w:cs="Times New Roman"/>
          <w:i/>
          <w:iCs/>
          <w:noProof/>
          <w:szCs w:val="24"/>
        </w:rPr>
        <w:t>6</w:t>
      </w:r>
      <w:r w:rsidRPr="004D3ED2">
        <w:rPr>
          <w:rFonts w:cs="Times New Roman"/>
          <w:noProof/>
          <w:szCs w:val="24"/>
        </w:rPr>
        <w:t>(1), 31–52.</w:t>
      </w:r>
    </w:p>
    <w:p w14:paraId="0F3A1D9C"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Claessens, S., &amp; Yurtoglu, B. B. (2013). Corporate governance in emerging markets: A survey. </w:t>
      </w:r>
      <w:r w:rsidRPr="004D3ED2">
        <w:rPr>
          <w:rFonts w:cs="Times New Roman"/>
          <w:i/>
          <w:iCs/>
          <w:noProof/>
          <w:szCs w:val="24"/>
        </w:rPr>
        <w:t>Emerging Markets Review</w:t>
      </w:r>
      <w:r w:rsidRPr="004D3ED2">
        <w:rPr>
          <w:rFonts w:cs="Times New Roman"/>
          <w:noProof/>
          <w:szCs w:val="24"/>
        </w:rPr>
        <w:t xml:space="preserve">, </w:t>
      </w:r>
      <w:r w:rsidRPr="004D3ED2">
        <w:rPr>
          <w:rFonts w:cs="Times New Roman"/>
          <w:i/>
          <w:iCs/>
          <w:noProof/>
          <w:szCs w:val="24"/>
        </w:rPr>
        <w:t>15</w:t>
      </w:r>
      <w:r w:rsidRPr="004D3ED2">
        <w:rPr>
          <w:rFonts w:cs="Times New Roman"/>
          <w:noProof/>
          <w:szCs w:val="24"/>
        </w:rPr>
        <w:t xml:space="preserve">, 1–33. </w:t>
      </w:r>
      <w:hyperlink r:id="rId15" w:history="1">
        <w:r w:rsidRPr="007E4351">
          <w:rPr>
            <w:rStyle w:val="Hyperlink"/>
            <w:rFonts w:cs="Times New Roman"/>
            <w:noProof/>
            <w:szCs w:val="24"/>
          </w:rPr>
          <w:t>https://doi.org/10.1016/j.ememar.2012.03.002</w:t>
        </w:r>
      </w:hyperlink>
    </w:p>
    <w:p w14:paraId="438EB427" w14:textId="77777777" w:rsid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de Vaus, D. (2013). SURVEYS IN SOCIAL RESEARCH, 6th Edition. </w:t>
      </w:r>
      <w:r w:rsidRPr="004D3ED2">
        <w:rPr>
          <w:rFonts w:cs="Times New Roman"/>
          <w:i/>
          <w:iCs/>
          <w:noProof/>
          <w:szCs w:val="24"/>
        </w:rPr>
        <w:t xml:space="preserve">Surveys in Social </w:t>
      </w:r>
      <w:r w:rsidRPr="004D3ED2">
        <w:rPr>
          <w:rFonts w:cs="Times New Roman"/>
          <w:i/>
          <w:iCs/>
          <w:noProof/>
          <w:szCs w:val="24"/>
        </w:rPr>
        <w:lastRenderedPageBreak/>
        <w:t>Research, 6th Edition</w:t>
      </w:r>
      <w:r w:rsidRPr="004D3ED2">
        <w:rPr>
          <w:rFonts w:cs="Times New Roman"/>
          <w:noProof/>
          <w:szCs w:val="24"/>
        </w:rPr>
        <w:t xml:space="preserve">, 1–382. </w:t>
      </w:r>
      <w:hyperlink r:id="rId16" w:history="1">
        <w:r w:rsidRPr="007E4351">
          <w:rPr>
            <w:rStyle w:val="Hyperlink"/>
            <w:rFonts w:cs="Times New Roman"/>
            <w:noProof/>
            <w:szCs w:val="24"/>
          </w:rPr>
          <w:t>https://doi.org/10.4324/9780203519196/SURVEYS-SOCIAL-RESEARCH-DAVID-DE-VAUS-DAVID-DE-VAUS</w:t>
        </w:r>
      </w:hyperlink>
    </w:p>
    <w:p w14:paraId="54A21BC7"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lang w:val="en-US"/>
        </w:rPr>
      </w:pPr>
      <w:r w:rsidRPr="004D3ED2">
        <w:rPr>
          <w:rFonts w:cs="Times New Roman"/>
          <w:noProof/>
          <w:szCs w:val="24"/>
          <w:lang w:val="en-US"/>
        </w:rPr>
        <w:t>Freeman, R. E. (1984). Strategic management: A stakeholder approach. Pitman.</w:t>
      </w:r>
    </w:p>
    <w:p w14:paraId="6A107270"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lang w:val="en-US"/>
        </w:rPr>
      </w:pPr>
      <w:r w:rsidRPr="004D3ED2">
        <w:rPr>
          <w:rFonts w:cs="Times New Roman"/>
          <w:noProof/>
          <w:szCs w:val="24"/>
          <w:lang w:val="en-US"/>
        </w:rPr>
        <w:t>Jensen, M. C., &amp; Meckling, W. H. (1976). Theory of the firm: Managerial behavior, agency costs and ownership structure. Journal of Financial Economics, 3(4), 305-360.</w:t>
      </w:r>
    </w:p>
    <w:p w14:paraId="14032807"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Heale, R., &amp; Twycross, A. (2015). Validity and Reliability in Qualitative Studies. Evidence-Based Nursing, 18, 66-67. </w:t>
      </w:r>
      <w:hyperlink r:id="rId17" w:history="1">
        <w:r w:rsidRPr="004D3ED2">
          <w:rPr>
            <w:rStyle w:val="Hyperlink"/>
            <w:rFonts w:cs="Times New Roman"/>
            <w:noProof/>
            <w:szCs w:val="24"/>
          </w:rPr>
          <w:t>https://doi.org/10.1136/eb-2015-102129</w:t>
        </w:r>
      </w:hyperlink>
    </w:p>
    <w:p w14:paraId="58235940"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Department, S. R. (2022). </w:t>
      </w:r>
      <w:r w:rsidRPr="004D3ED2">
        <w:rPr>
          <w:rFonts w:cs="Times New Roman"/>
          <w:i/>
          <w:iCs/>
          <w:noProof/>
          <w:szCs w:val="24"/>
        </w:rPr>
        <w:t>The universe o f a c a d e m i c d ata</w:t>
      </w:r>
      <w:r w:rsidRPr="004D3ED2">
        <w:rPr>
          <w:rFonts w:cs="Times New Roman"/>
          <w:noProof/>
          <w:szCs w:val="24"/>
        </w:rPr>
        <w:t xml:space="preserve">. </w:t>
      </w:r>
      <w:r w:rsidRPr="004D3ED2">
        <w:rPr>
          <w:rFonts w:cs="Times New Roman"/>
          <w:i/>
          <w:iCs/>
          <w:noProof/>
          <w:szCs w:val="24"/>
        </w:rPr>
        <w:t>January</w:t>
      </w:r>
      <w:r w:rsidRPr="004D3ED2">
        <w:rPr>
          <w:rFonts w:cs="Times New Roman"/>
          <w:noProof/>
          <w:szCs w:val="24"/>
        </w:rPr>
        <w:t>.</w:t>
      </w:r>
    </w:p>
    <w:p w14:paraId="5F23DBBE"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Eccles, R. G., Ioannou, I., &amp; Serafeim, G. (2014). The impact of corporate sustainability on organizational processes and performance. </w:t>
      </w:r>
      <w:r w:rsidRPr="004D3ED2">
        <w:rPr>
          <w:rFonts w:cs="Times New Roman"/>
          <w:i/>
          <w:iCs/>
          <w:noProof/>
          <w:szCs w:val="24"/>
        </w:rPr>
        <w:t>Management Science</w:t>
      </w:r>
      <w:r w:rsidRPr="004D3ED2">
        <w:rPr>
          <w:rFonts w:cs="Times New Roman"/>
          <w:noProof/>
          <w:szCs w:val="24"/>
        </w:rPr>
        <w:t xml:space="preserve">, </w:t>
      </w:r>
      <w:r w:rsidRPr="004D3ED2">
        <w:rPr>
          <w:rFonts w:cs="Times New Roman"/>
          <w:i/>
          <w:iCs/>
          <w:noProof/>
          <w:szCs w:val="24"/>
        </w:rPr>
        <w:t>60</w:t>
      </w:r>
      <w:r w:rsidRPr="004D3ED2">
        <w:rPr>
          <w:rFonts w:cs="Times New Roman"/>
          <w:noProof/>
          <w:szCs w:val="24"/>
        </w:rPr>
        <w:t xml:space="preserve">(11), 2835–2857. </w:t>
      </w:r>
      <w:hyperlink r:id="rId18" w:history="1">
        <w:r w:rsidRPr="007E4351">
          <w:rPr>
            <w:rStyle w:val="Hyperlink"/>
            <w:rFonts w:cs="Times New Roman"/>
            <w:noProof/>
            <w:szCs w:val="24"/>
          </w:rPr>
          <w:t>https://doi.org/10.1287/MNSC.2014.1984</w:t>
        </w:r>
      </w:hyperlink>
    </w:p>
    <w:p w14:paraId="7DB1ECA6"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Freeman, R. E. E., &amp; McVea, J. (2005). A Stakeholder Approach to Strategic Management. </w:t>
      </w:r>
      <w:r w:rsidRPr="004D3ED2">
        <w:rPr>
          <w:rFonts w:cs="Times New Roman"/>
          <w:i/>
          <w:iCs/>
          <w:noProof/>
          <w:szCs w:val="24"/>
        </w:rPr>
        <w:t>SSRN Electronic Journal</w:t>
      </w:r>
      <w:r w:rsidRPr="004D3ED2">
        <w:rPr>
          <w:rFonts w:cs="Times New Roman"/>
          <w:noProof/>
          <w:szCs w:val="24"/>
        </w:rPr>
        <w:t xml:space="preserve">, </w:t>
      </w:r>
      <w:r w:rsidRPr="004D3ED2">
        <w:rPr>
          <w:rFonts w:cs="Times New Roman"/>
          <w:i/>
          <w:iCs/>
          <w:noProof/>
          <w:szCs w:val="24"/>
        </w:rPr>
        <w:t>January 2001</w:t>
      </w:r>
      <w:r w:rsidRPr="004D3ED2">
        <w:rPr>
          <w:rFonts w:cs="Times New Roman"/>
          <w:noProof/>
          <w:szCs w:val="24"/>
        </w:rPr>
        <w:t xml:space="preserve">. </w:t>
      </w:r>
      <w:hyperlink r:id="rId19" w:history="1">
        <w:r w:rsidRPr="007E4351">
          <w:rPr>
            <w:rStyle w:val="Hyperlink"/>
            <w:rFonts w:cs="Times New Roman"/>
            <w:noProof/>
            <w:szCs w:val="24"/>
          </w:rPr>
          <w:t>https://doi.org/10.2139/ssrn.263511</w:t>
        </w:r>
      </w:hyperlink>
    </w:p>
    <w:p w14:paraId="2DD09A56"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Hahn, T., Figge, F., Pinkse, J., &amp; Preuss, L. (2018). A Paradox Perspective on Corporate Sustainability: Descriptive, Instrumental, and Normative Aspects. </w:t>
      </w:r>
      <w:r w:rsidRPr="004D3ED2">
        <w:rPr>
          <w:rFonts w:cs="Times New Roman"/>
          <w:i/>
          <w:iCs/>
          <w:noProof/>
          <w:szCs w:val="24"/>
        </w:rPr>
        <w:t>Journal of Business Ethics</w:t>
      </w:r>
      <w:r w:rsidRPr="004D3ED2">
        <w:rPr>
          <w:rFonts w:cs="Times New Roman"/>
          <w:noProof/>
          <w:szCs w:val="24"/>
        </w:rPr>
        <w:t xml:space="preserve">, </w:t>
      </w:r>
      <w:r w:rsidRPr="004D3ED2">
        <w:rPr>
          <w:rFonts w:cs="Times New Roman"/>
          <w:i/>
          <w:iCs/>
          <w:noProof/>
          <w:szCs w:val="24"/>
        </w:rPr>
        <w:t>148</w:t>
      </w:r>
      <w:r w:rsidRPr="004D3ED2">
        <w:rPr>
          <w:rFonts w:cs="Times New Roman"/>
          <w:noProof/>
          <w:szCs w:val="24"/>
        </w:rPr>
        <w:t xml:space="preserve">(2), 235–248. </w:t>
      </w:r>
      <w:hyperlink r:id="rId20" w:history="1">
        <w:r w:rsidRPr="007E4351">
          <w:rPr>
            <w:rStyle w:val="Hyperlink"/>
            <w:rFonts w:cs="Times New Roman"/>
            <w:noProof/>
            <w:szCs w:val="24"/>
          </w:rPr>
          <w:t>https://doi.org/10.1007/s10551-017-3587-2</w:t>
        </w:r>
      </w:hyperlink>
    </w:p>
    <w:p w14:paraId="36BD9CCD"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Heale, R., &amp; Twycross, A. (2015). Validity and reliability in quantitative studies. </w:t>
      </w:r>
      <w:r w:rsidRPr="004D3ED2">
        <w:rPr>
          <w:rFonts w:cs="Times New Roman"/>
          <w:i/>
          <w:iCs/>
          <w:noProof/>
          <w:szCs w:val="24"/>
        </w:rPr>
        <w:t>Evidence-Based Nursing</w:t>
      </w:r>
      <w:r w:rsidRPr="004D3ED2">
        <w:rPr>
          <w:rFonts w:cs="Times New Roman"/>
          <w:noProof/>
          <w:szCs w:val="24"/>
        </w:rPr>
        <w:t xml:space="preserve">, </w:t>
      </w:r>
      <w:r w:rsidRPr="004D3ED2">
        <w:rPr>
          <w:rFonts w:cs="Times New Roman"/>
          <w:i/>
          <w:iCs/>
          <w:noProof/>
          <w:szCs w:val="24"/>
        </w:rPr>
        <w:t>18</w:t>
      </w:r>
      <w:r w:rsidRPr="004D3ED2">
        <w:rPr>
          <w:rFonts w:cs="Times New Roman"/>
          <w:noProof/>
          <w:szCs w:val="24"/>
        </w:rPr>
        <w:t xml:space="preserve">(3), 66–67. </w:t>
      </w:r>
      <w:hyperlink r:id="rId21" w:history="1">
        <w:r w:rsidRPr="007E4351">
          <w:rPr>
            <w:rStyle w:val="Hyperlink"/>
            <w:rFonts w:cs="Times New Roman"/>
            <w:noProof/>
            <w:szCs w:val="24"/>
          </w:rPr>
          <w:t>https://doi.org/10.1136/EB-2015-102129</w:t>
        </w:r>
      </w:hyperlink>
    </w:p>
    <w:p w14:paraId="233529DC"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Hove, M., &amp; Ndawana, E. (2018). National instability as a threat to Africa’s vision to transform borders from barriers into bridges of development. </w:t>
      </w:r>
      <w:r w:rsidRPr="004D3ED2">
        <w:rPr>
          <w:rFonts w:cs="Times New Roman"/>
          <w:i/>
          <w:iCs/>
          <w:noProof/>
          <w:szCs w:val="24"/>
        </w:rPr>
        <w:t>Migration and Development</w:t>
      </w:r>
      <w:r w:rsidRPr="004D3ED2">
        <w:rPr>
          <w:rFonts w:cs="Times New Roman"/>
          <w:noProof/>
          <w:szCs w:val="24"/>
        </w:rPr>
        <w:t xml:space="preserve">, </w:t>
      </w:r>
      <w:r w:rsidRPr="004D3ED2">
        <w:rPr>
          <w:rFonts w:cs="Times New Roman"/>
          <w:i/>
          <w:iCs/>
          <w:noProof/>
          <w:szCs w:val="24"/>
        </w:rPr>
        <w:t>7</w:t>
      </w:r>
      <w:r w:rsidRPr="004D3ED2">
        <w:rPr>
          <w:rFonts w:cs="Times New Roman"/>
          <w:noProof/>
          <w:szCs w:val="24"/>
        </w:rPr>
        <w:t xml:space="preserve">(2), 201–221. </w:t>
      </w:r>
      <w:hyperlink r:id="rId22" w:history="1">
        <w:r w:rsidRPr="007E4351">
          <w:rPr>
            <w:rStyle w:val="Hyperlink"/>
            <w:rFonts w:cs="Times New Roman"/>
            <w:noProof/>
            <w:szCs w:val="24"/>
          </w:rPr>
          <w:t>https://doi.org/10.1080/21632324.2017.1285850</w:t>
        </w:r>
      </w:hyperlink>
    </w:p>
    <w:p w14:paraId="4993980A"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Jensen, M., &amp; Meckling, W. (2012). Theory of the firm: Managerial behavior, agency costs, and ownership structure. </w:t>
      </w:r>
      <w:r w:rsidRPr="004D3ED2">
        <w:rPr>
          <w:rFonts w:cs="Times New Roman"/>
          <w:i/>
          <w:iCs/>
          <w:noProof/>
          <w:szCs w:val="24"/>
        </w:rPr>
        <w:t>The Economic Nature of the Firm: A Reader, Third Edition</w:t>
      </w:r>
      <w:r w:rsidRPr="004D3ED2">
        <w:rPr>
          <w:rFonts w:cs="Times New Roman"/>
          <w:noProof/>
          <w:szCs w:val="24"/>
        </w:rPr>
        <w:t xml:space="preserve">, 283–303. </w:t>
      </w:r>
      <w:hyperlink r:id="rId23" w:history="1">
        <w:r w:rsidRPr="007E4351">
          <w:rPr>
            <w:rStyle w:val="Hyperlink"/>
            <w:rFonts w:cs="Times New Roman"/>
            <w:noProof/>
            <w:szCs w:val="24"/>
          </w:rPr>
          <w:t>https://doi.org/10.1017/CBO9780511817410.023</w:t>
        </w:r>
      </w:hyperlink>
    </w:p>
    <w:p w14:paraId="3E3C9D89"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Johnson, D. W., &amp; Johnson, R. T. (2021). The Impact of Cooperative Learning on Academic Achievement. </w:t>
      </w:r>
      <w:r w:rsidRPr="004D3ED2">
        <w:rPr>
          <w:rFonts w:cs="Times New Roman"/>
          <w:i/>
          <w:iCs/>
          <w:noProof/>
          <w:szCs w:val="24"/>
        </w:rPr>
        <w:t>Educational Researcher</w:t>
      </w:r>
      <w:r w:rsidRPr="004D3ED2">
        <w:rPr>
          <w:rFonts w:cs="Times New Roman"/>
          <w:noProof/>
          <w:szCs w:val="24"/>
        </w:rPr>
        <w:t xml:space="preserve">, </w:t>
      </w:r>
      <w:r w:rsidRPr="004D3ED2">
        <w:rPr>
          <w:rFonts w:cs="Times New Roman"/>
          <w:i/>
          <w:iCs/>
          <w:noProof/>
          <w:szCs w:val="24"/>
        </w:rPr>
        <w:t>August</w:t>
      </w:r>
      <w:r w:rsidRPr="004D3ED2">
        <w:rPr>
          <w:rFonts w:cs="Times New Roman"/>
          <w:noProof/>
          <w:szCs w:val="24"/>
        </w:rPr>
        <w:t>, 320–330.</w:t>
      </w:r>
    </w:p>
    <w:p w14:paraId="36746BCF"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Landrum, R. E., &amp; Chastain, G. (1995). Experiment spot-checks: a method for assessing the educational value of undergraduate participation in research. </w:t>
      </w:r>
      <w:r w:rsidRPr="004D3ED2">
        <w:rPr>
          <w:rFonts w:cs="Times New Roman"/>
          <w:i/>
          <w:iCs/>
          <w:noProof/>
          <w:szCs w:val="24"/>
        </w:rPr>
        <w:t>Irb</w:t>
      </w:r>
      <w:r w:rsidRPr="004D3ED2">
        <w:rPr>
          <w:rFonts w:cs="Times New Roman"/>
          <w:noProof/>
          <w:szCs w:val="24"/>
        </w:rPr>
        <w:t xml:space="preserve">, </w:t>
      </w:r>
      <w:r w:rsidRPr="004D3ED2">
        <w:rPr>
          <w:rFonts w:cs="Times New Roman"/>
          <w:i/>
          <w:iCs/>
          <w:noProof/>
          <w:szCs w:val="24"/>
        </w:rPr>
        <w:t>17</w:t>
      </w:r>
      <w:r w:rsidRPr="004D3ED2">
        <w:rPr>
          <w:rFonts w:cs="Times New Roman"/>
          <w:noProof/>
          <w:szCs w:val="24"/>
        </w:rPr>
        <w:t xml:space="preserve">(4), 4–6. </w:t>
      </w:r>
      <w:hyperlink r:id="rId24" w:history="1">
        <w:r w:rsidRPr="007E4351">
          <w:rPr>
            <w:rStyle w:val="Hyperlink"/>
            <w:rFonts w:cs="Times New Roman"/>
            <w:noProof/>
            <w:szCs w:val="24"/>
          </w:rPr>
          <w:t>https://doi.org/10.2307/3564152</w:t>
        </w:r>
      </w:hyperlink>
    </w:p>
    <w:p w14:paraId="2B58B247"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Mapuva, J. (2011). Enhancing local governance through local initiatives: Residents’ associations in Zimbabwe. </w:t>
      </w:r>
      <w:r w:rsidRPr="004D3ED2">
        <w:rPr>
          <w:rFonts w:cs="Times New Roman"/>
          <w:i/>
          <w:iCs/>
          <w:noProof/>
          <w:szCs w:val="24"/>
        </w:rPr>
        <w:t>African Journal of History and Culture</w:t>
      </w:r>
      <w:r w:rsidRPr="004D3ED2">
        <w:rPr>
          <w:rFonts w:cs="Times New Roman"/>
          <w:noProof/>
          <w:szCs w:val="24"/>
        </w:rPr>
        <w:t xml:space="preserve">, </w:t>
      </w:r>
      <w:r w:rsidRPr="004D3ED2">
        <w:rPr>
          <w:rFonts w:cs="Times New Roman"/>
          <w:i/>
          <w:iCs/>
          <w:noProof/>
          <w:szCs w:val="24"/>
        </w:rPr>
        <w:t>3</w:t>
      </w:r>
      <w:r w:rsidRPr="004D3ED2">
        <w:rPr>
          <w:rFonts w:cs="Times New Roman"/>
          <w:noProof/>
          <w:szCs w:val="24"/>
        </w:rPr>
        <w:t xml:space="preserve">(1), 1–12. </w:t>
      </w:r>
      <w:hyperlink r:id="rId25" w:history="1">
        <w:r w:rsidRPr="007E4351">
          <w:rPr>
            <w:rStyle w:val="Hyperlink"/>
            <w:rFonts w:cs="Times New Roman"/>
            <w:noProof/>
            <w:szCs w:val="24"/>
          </w:rPr>
          <w:t>https://repository.uwc.ac.za:443/xmlui/handle/10566/2325</w:t>
        </w:r>
      </w:hyperlink>
    </w:p>
    <w:p w14:paraId="04BC0B9D"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Marashdeh, Z. M. S. (2021). The Effect of Corporate Governance on Firm Performance. </w:t>
      </w:r>
      <w:r w:rsidRPr="004D3ED2">
        <w:rPr>
          <w:rFonts w:cs="Times New Roman"/>
          <w:i/>
          <w:iCs/>
          <w:noProof/>
          <w:szCs w:val="24"/>
        </w:rPr>
        <w:t>Indicators : Journal of Economic and Business</w:t>
      </w:r>
      <w:r w:rsidRPr="004D3ED2">
        <w:rPr>
          <w:rFonts w:cs="Times New Roman"/>
          <w:noProof/>
          <w:szCs w:val="24"/>
        </w:rPr>
        <w:t xml:space="preserve">, </w:t>
      </w:r>
      <w:r w:rsidRPr="004D3ED2">
        <w:rPr>
          <w:rFonts w:cs="Times New Roman"/>
          <w:i/>
          <w:iCs/>
          <w:noProof/>
          <w:szCs w:val="24"/>
        </w:rPr>
        <w:t>3</w:t>
      </w:r>
      <w:r w:rsidRPr="004D3ED2">
        <w:rPr>
          <w:rFonts w:cs="Times New Roman"/>
          <w:noProof/>
          <w:szCs w:val="24"/>
        </w:rPr>
        <w:t xml:space="preserve">(2), 132–142. </w:t>
      </w:r>
      <w:hyperlink r:id="rId26" w:history="1">
        <w:r w:rsidRPr="007E4351">
          <w:rPr>
            <w:rStyle w:val="Hyperlink"/>
            <w:rFonts w:cs="Times New Roman"/>
            <w:noProof/>
            <w:szCs w:val="24"/>
          </w:rPr>
          <w:t>https://doi.org/10.47729/indicators.v3i2.93</w:t>
        </w:r>
      </w:hyperlink>
    </w:p>
    <w:p w14:paraId="3D1633E4"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Masinge, K. (2011). Factors influencing the adoption of mobile banking in Tanzania. </w:t>
      </w:r>
      <w:r w:rsidRPr="004D3ED2">
        <w:rPr>
          <w:rFonts w:cs="Times New Roman"/>
          <w:i/>
          <w:iCs/>
          <w:noProof/>
          <w:szCs w:val="24"/>
        </w:rPr>
        <w:t>M. A Dissertation SAUT University</w:t>
      </w:r>
      <w:r w:rsidRPr="004D3ED2">
        <w:rPr>
          <w:rFonts w:cs="Times New Roman"/>
          <w:noProof/>
          <w:szCs w:val="24"/>
        </w:rPr>
        <w:t xml:space="preserve">, </w:t>
      </w:r>
      <w:r w:rsidRPr="004D3ED2">
        <w:rPr>
          <w:rFonts w:cs="Times New Roman"/>
          <w:i/>
          <w:iCs/>
          <w:noProof/>
          <w:szCs w:val="24"/>
        </w:rPr>
        <w:t>November</w:t>
      </w:r>
      <w:r w:rsidRPr="004D3ED2">
        <w:rPr>
          <w:rFonts w:cs="Times New Roman"/>
          <w:noProof/>
          <w:szCs w:val="24"/>
        </w:rPr>
        <w:t>.</w:t>
      </w:r>
    </w:p>
    <w:p w14:paraId="17D191F7"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Masripatin, N., Ginoga, K. L., Ridha, D. M., Purbo, A., Wibowo, A., Tobing, L. B., Widyaningtyas, N., Widayati, T., Bagiyono, R., Anwar, S., &amp; Farid, M. (2015). </w:t>
      </w:r>
      <w:r w:rsidRPr="004D3ED2">
        <w:rPr>
          <w:rFonts w:cs="Times New Roman"/>
          <w:i/>
          <w:iCs/>
          <w:noProof/>
          <w:szCs w:val="24"/>
        </w:rPr>
        <w:t>Global Sustainable Development Report</w:t>
      </w:r>
      <w:r w:rsidRPr="004D3ED2">
        <w:rPr>
          <w:rFonts w:cs="Times New Roman"/>
          <w:noProof/>
          <w:szCs w:val="24"/>
        </w:rPr>
        <w:t>. ditjenppi.menlhk.go.id</w:t>
      </w:r>
    </w:p>
    <w:p w14:paraId="5DD965EE"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OCED. (2016). G20/OECD Principles of Corporate Governance. </w:t>
      </w:r>
      <w:r w:rsidRPr="004D3ED2">
        <w:rPr>
          <w:rFonts w:cs="Times New Roman"/>
          <w:i/>
          <w:iCs/>
          <w:noProof/>
          <w:szCs w:val="24"/>
        </w:rPr>
        <w:t>G20/OECD Principles of Corporate Governance</w:t>
      </w:r>
      <w:r w:rsidRPr="004D3ED2">
        <w:rPr>
          <w:rFonts w:cs="Times New Roman"/>
          <w:noProof/>
          <w:szCs w:val="24"/>
        </w:rPr>
        <w:t xml:space="preserve">. </w:t>
      </w:r>
      <w:hyperlink r:id="rId27" w:history="1">
        <w:r w:rsidRPr="007E4351">
          <w:rPr>
            <w:rStyle w:val="Hyperlink"/>
            <w:rFonts w:cs="Times New Roman"/>
            <w:noProof/>
            <w:szCs w:val="24"/>
          </w:rPr>
          <w:t>https://doi.org/10.1787/9789264257443-tr</w:t>
        </w:r>
      </w:hyperlink>
    </w:p>
    <w:p w14:paraId="782833F3"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Patrício, L., &amp; Fisk, R. P. (2017). Chapter 10 Creating new services. </w:t>
      </w:r>
      <w:r w:rsidRPr="004D3ED2">
        <w:rPr>
          <w:rFonts w:cs="Times New Roman"/>
          <w:i/>
          <w:iCs/>
          <w:noProof/>
          <w:szCs w:val="24"/>
        </w:rPr>
        <w:t>Serving Customers: Global Services Marketing Perspectives</w:t>
      </w:r>
      <w:r w:rsidRPr="004D3ED2">
        <w:rPr>
          <w:rFonts w:cs="Times New Roman"/>
          <w:noProof/>
          <w:szCs w:val="24"/>
        </w:rPr>
        <w:t xml:space="preserve">, </w:t>
      </w:r>
      <w:r w:rsidRPr="004D3ED2">
        <w:rPr>
          <w:rFonts w:cs="Times New Roman"/>
          <w:i/>
          <w:iCs/>
          <w:noProof/>
          <w:szCs w:val="24"/>
        </w:rPr>
        <w:t>June 2013</w:t>
      </w:r>
      <w:r w:rsidRPr="004D3ED2">
        <w:rPr>
          <w:rFonts w:cs="Times New Roman"/>
          <w:noProof/>
          <w:szCs w:val="24"/>
        </w:rPr>
        <w:t>, 185–207.</w:t>
      </w:r>
    </w:p>
    <w:p w14:paraId="395DDEF9"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Payne, A. L. (2021). Qualitative research methods: Case study methodology website. </w:t>
      </w:r>
      <w:r w:rsidRPr="004D3ED2">
        <w:rPr>
          <w:rFonts w:cs="Times New Roman"/>
          <w:i/>
          <w:iCs/>
          <w:noProof/>
          <w:szCs w:val="24"/>
        </w:rPr>
        <w:t>Case Study Methodology "Aboriginal</w:t>
      </w:r>
      <w:r w:rsidRPr="004D3ED2">
        <w:rPr>
          <w:rFonts w:cs="Times New Roman"/>
          <w:noProof/>
          <w:szCs w:val="24"/>
        </w:rPr>
        <w:t xml:space="preserve">, </w:t>
      </w:r>
      <w:r w:rsidRPr="004D3ED2">
        <w:rPr>
          <w:rFonts w:cs="Times New Roman"/>
          <w:i/>
          <w:iCs/>
          <w:noProof/>
          <w:szCs w:val="24"/>
        </w:rPr>
        <w:t>December 2020</w:t>
      </w:r>
      <w:r w:rsidRPr="004D3ED2">
        <w:rPr>
          <w:rFonts w:cs="Times New Roman"/>
          <w:noProof/>
          <w:szCs w:val="24"/>
        </w:rPr>
        <w:t>.</w:t>
      </w:r>
    </w:p>
    <w:p w14:paraId="613FCD4C"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Tsiga, B., Hofisi, C., &amp; Mago, S. (2016). Community Participation in NGO “Development Projects” in Zimbabwe: Myth or Reality? </w:t>
      </w:r>
      <w:r w:rsidRPr="004D3ED2">
        <w:rPr>
          <w:rFonts w:cs="Times New Roman"/>
          <w:i/>
          <w:iCs/>
          <w:noProof/>
          <w:szCs w:val="24"/>
        </w:rPr>
        <w:t>Journal of Human Ecology</w:t>
      </w:r>
      <w:r w:rsidRPr="004D3ED2">
        <w:rPr>
          <w:rFonts w:cs="Times New Roman"/>
          <w:noProof/>
          <w:szCs w:val="24"/>
        </w:rPr>
        <w:t xml:space="preserve">, </w:t>
      </w:r>
      <w:r w:rsidRPr="004D3ED2">
        <w:rPr>
          <w:rFonts w:cs="Times New Roman"/>
          <w:i/>
          <w:iCs/>
          <w:noProof/>
          <w:szCs w:val="24"/>
        </w:rPr>
        <w:t>55</w:t>
      </w:r>
      <w:r w:rsidRPr="004D3ED2">
        <w:rPr>
          <w:rFonts w:cs="Times New Roman"/>
          <w:noProof/>
          <w:szCs w:val="24"/>
        </w:rPr>
        <w:t xml:space="preserve">(3), 237–248. </w:t>
      </w:r>
      <w:hyperlink r:id="rId28" w:history="1">
        <w:r w:rsidRPr="007E4351">
          <w:rPr>
            <w:rStyle w:val="Hyperlink"/>
            <w:rFonts w:cs="Times New Roman"/>
            <w:noProof/>
            <w:szCs w:val="24"/>
          </w:rPr>
          <w:t>https://doi.org/10.1080/09709274.2016.11907029</w:t>
        </w:r>
      </w:hyperlink>
    </w:p>
    <w:p w14:paraId="67B3CA74"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Vicente, J. A. (2020). State-owned enterprises’ corporate governance: Evidence from a Portuguese company. </w:t>
      </w:r>
      <w:r w:rsidRPr="004D3ED2">
        <w:rPr>
          <w:rFonts w:cs="Times New Roman"/>
          <w:i/>
          <w:iCs/>
          <w:noProof/>
          <w:szCs w:val="24"/>
        </w:rPr>
        <w:t>Corporate Ownership and Control</w:t>
      </w:r>
      <w:r w:rsidRPr="004D3ED2">
        <w:rPr>
          <w:rFonts w:cs="Times New Roman"/>
          <w:noProof/>
          <w:szCs w:val="24"/>
        </w:rPr>
        <w:t xml:space="preserve">, </w:t>
      </w:r>
      <w:r w:rsidRPr="004D3ED2">
        <w:rPr>
          <w:rFonts w:cs="Times New Roman"/>
          <w:i/>
          <w:iCs/>
          <w:noProof/>
          <w:szCs w:val="24"/>
        </w:rPr>
        <w:t>18</w:t>
      </w:r>
      <w:r w:rsidRPr="004D3ED2">
        <w:rPr>
          <w:rFonts w:cs="Times New Roman"/>
          <w:noProof/>
          <w:szCs w:val="24"/>
        </w:rPr>
        <w:t xml:space="preserve">(1), 127–137. </w:t>
      </w:r>
      <w:hyperlink r:id="rId29" w:history="1">
        <w:r w:rsidRPr="007E4351">
          <w:rPr>
            <w:rStyle w:val="Hyperlink"/>
            <w:rFonts w:cs="Times New Roman"/>
            <w:noProof/>
            <w:szCs w:val="24"/>
          </w:rPr>
          <w:t>https://doi.org/10.22495/cocv18i1art10</w:t>
        </w:r>
      </w:hyperlink>
    </w:p>
    <w:p w14:paraId="776AA8EB" w14:textId="77777777" w:rsidR="004D3ED2" w:rsidRP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Williamson, O. (1979). The Journal of Law and Economics-Transaction cost economics. </w:t>
      </w:r>
      <w:r w:rsidRPr="004D3ED2">
        <w:rPr>
          <w:rFonts w:cs="Times New Roman"/>
          <w:i/>
          <w:iCs/>
          <w:noProof/>
          <w:szCs w:val="24"/>
        </w:rPr>
        <w:t>Journal of Law and Economics</w:t>
      </w:r>
      <w:r w:rsidRPr="004D3ED2">
        <w:rPr>
          <w:rFonts w:cs="Times New Roman"/>
          <w:noProof/>
          <w:szCs w:val="24"/>
        </w:rPr>
        <w:t xml:space="preserve">, </w:t>
      </w:r>
      <w:r w:rsidRPr="004D3ED2">
        <w:rPr>
          <w:rFonts w:cs="Times New Roman"/>
          <w:i/>
          <w:iCs/>
          <w:noProof/>
          <w:szCs w:val="24"/>
        </w:rPr>
        <w:t>22</w:t>
      </w:r>
      <w:r w:rsidRPr="004D3ED2">
        <w:rPr>
          <w:rFonts w:cs="Times New Roman"/>
          <w:noProof/>
          <w:szCs w:val="24"/>
        </w:rPr>
        <w:t>(2), 233–261.</w:t>
      </w:r>
    </w:p>
    <w:p w14:paraId="51DF24F9" w14:textId="77777777" w:rsidR="004D3ED2" w:rsidRDefault="004D3ED2" w:rsidP="008724AA">
      <w:pPr>
        <w:widowControl w:val="0"/>
        <w:autoSpaceDE w:val="0"/>
        <w:autoSpaceDN w:val="0"/>
        <w:adjustRightInd w:val="0"/>
        <w:spacing w:line="360" w:lineRule="auto"/>
        <w:ind w:left="480" w:hanging="480"/>
        <w:rPr>
          <w:rFonts w:cs="Times New Roman"/>
          <w:noProof/>
          <w:szCs w:val="24"/>
        </w:rPr>
      </w:pPr>
      <w:r w:rsidRPr="004D3ED2">
        <w:rPr>
          <w:rFonts w:cs="Times New Roman"/>
          <w:noProof/>
          <w:szCs w:val="24"/>
        </w:rPr>
        <w:t xml:space="preserve">Wright, C. F., &amp; Lansbury, R. D. (2019). A dynamic work systems approach for analysing employment relations. </w:t>
      </w:r>
      <w:r w:rsidRPr="004D3ED2">
        <w:rPr>
          <w:rFonts w:cs="Times New Roman"/>
          <w:i/>
          <w:iCs/>
          <w:noProof/>
          <w:szCs w:val="24"/>
        </w:rPr>
        <w:t xml:space="preserve">Contemporary Issues in Work and Organisations: Actors and </w:t>
      </w:r>
      <w:r w:rsidRPr="004D3ED2">
        <w:rPr>
          <w:rFonts w:cs="Times New Roman"/>
          <w:i/>
          <w:iCs/>
          <w:noProof/>
          <w:szCs w:val="24"/>
        </w:rPr>
        <w:lastRenderedPageBreak/>
        <w:t>Institutions</w:t>
      </w:r>
      <w:r w:rsidRPr="004D3ED2">
        <w:rPr>
          <w:rFonts w:cs="Times New Roman"/>
          <w:noProof/>
          <w:szCs w:val="24"/>
        </w:rPr>
        <w:t xml:space="preserve">, </w:t>
      </w:r>
      <w:r w:rsidRPr="004D3ED2">
        <w:rPr>
          <w:rFonts w:cs="Times New Roman"/>
          <w:i/>
          <w:iCs/>
          <w:noProof/>
          <w:szCs w:val="24"/>
        </w:rPr>
        <w:t>August 2019</w:t>
      </w:r>
      <w:r w:rsidRPr="004D3ED2">
        <w:rPr>
          <w:rFonts w:cs="Times New Roman"/>
          <w:noProof/>
          <w:szCs w:val="24"/>
        </w:rPr>
        <w:t xml:space="preserve">, 12–26. </w:t>
      </w:r>
      <w:hyperlink r:id="rId30" w:history="1">
        <w:r w:rsidRPr="007E4351">
          <w:rPr>
            <w:rStyle w:val="Hyperlink"/>
            <w:rFonts w:cs="Times New Roman"/>
            <w:noProof/>
            <w:szCs w:val="24"/>
          </w:rPr>
          <w:t>https://doi.org/10.4324/9780429439919-3</w:t>
        </w:r>
      </w:hyperlink>
    </w:p>
    <w:p w14:paraId="789A49FB" w14:textId="77777777" w:rsidR="007E4351" w:rsidRPr="007E4351" w:rsidRDefault="007E4351" w:rsidP="008724AA">
      <w:pPr>
        <w:widowControl w:val="0"/>
        <w:autoSpaceDE w:val="0"/>
        <w:autoSpaceDN w:val="0"/>
        <w:adjustRightInd w:val="0"/>
        <w:spacing w:line="360" w:lineRule="auto"/>
        <w:ind w:left="480" w:hanging="480"/>
        <w:rPr>
          <w:rFonts w:cs="Times New Roman"/>
          <w:noProof/>
          <w:szCs w:val="24"/>
          <w:u w:val="single"/>
          <w:lang w:val="en-US"/>
        </w:rPr>
      </w:pPr>
      <w:r w:rsidRPr="007E4351">
        <w:rPr>
          <w:rFonts w:cs="Times New Roman"/>
          <w:noProof/>
          <w:szCs w:val="24"/>
          <w:lang w:val="en-US"/>
        </w:rPr>
        <w:t>ZESA. (2023). About ZESA. </w:t>
      </w:r>
      <w:hyperlink r:id="rId31" w:tgtFrame="_blank" w:history="1">
        <w:r w:rsidRPr="007E4351">
          <w:rPr>
            <w:rStyle w:val="Hyperlink"/>
            <w:rFonts w:cs="Times New Roman"/>
            <w:noProof/>
            <w:szCs w:val="24"/>
            <w:lang w:val="en-US"/>
          </w:rPr>
          <w:t>https://www.zesa.co.zw/about-zesa/</w:t>
        </w:r>
      </w:hyperlink>
    </w:p>
    <w:p w14:paraId="5215271B" w14:textId="77777777" w:rsidR="004D3ED2" w:rsidRDefault="004D3ED2" w:rsidP="008724AA">
      <w:pPr>
        <w:widowControl w:val="0"/>
        <w:autoSpaceDE w:val="0"/>
        <w:autoSpaceDN w:val="0"/>
        <w:adjustRightInd w:val="0"/>
        <w:spacing w:line="360" w:lineRule="auto"/>
        <w:ind w:left="480" w:hanging="480"/>
        <w:rPr>
          <w:rStyle w:val="Hyperlink"/>
          <w:rFonts w:cs="Times New Roman"/>
          <w:noProof/>
          <w:szCs w:val="24"/>
        </w:rPr>
      </w:pPr>
      <w:r w:rsidRPr="004D3ED2">
        <w:rPr>
          <w:rFonts w:cs="Times New Roman"/>
          <w:noProof/>
          <w:szCs w:val="24"/>
        </w:rPr>
        <w:t xml:space="preserve">Zimbabwe National Statistics Agency. (2022). July 2022. In </w:t>
      </w:r>
      <w:r w:rsidRPr="004D3ED2">
        <w:rPr>
          <w:rFonts w:cs="Times New Roman"/>
          <w:i/>
          <w:iCs/>
          <w:noProof/>
          <w:szCs w:val="24"/>
        </w:rPr>
        <w:t>Zimstat</w:t>
      </w:r>
      <w:r w:rsidRPr="004D3ED2">
        <w:rPr>
          <w:rFonts w:cs="Times New Roman"/>
          <w:noProof/>
          <w:szCs w:val="24"/>
        </w:rPr>
        <w:t xml:space="preserve"> (Issue 16(07):2022). </w:t>
      </w:r>
      <w:hyperlink r:id="rId32" w:history="1">
        <w:r w:rsidRPr="007E4351">
          <w:rPr>
            <w:rStyle w:val="Hyperlink"/>
            <w:rFonts w:cs="Times New Roman"/>
            <w:noProof/>
            <w:szCs w:val="24"/>
          </w:rPr>
          <w:t>https://doi.org/10.21475/ajcs.22.16.07</w:t>
        </w:r>
      </w:hyperlink>
    </w:p>
    <w:p w14:paraId="108A19A4" w14:textId="77777777" w:rsidR="00505FEB" w:rsidRPr="00505FEB" w:rsidRDefault="00505FEB" w:rsidP="008724AA">
      <w:pPr>
        <w:widowControl w:val="0"/>
        <w:autoSpaceDE w:val="0"/>
        <w:autoSpaceDN w:val="0"/>
        <w:adjustRightInd w:val="0"/>
        <w:spacing w:line="360" w:lineRule="auto"/>
        <w:ind w:left="480" w:hanging="480"/>
        <w:rPr>
          <w:rStyle w:val="Hyperlink"/>
          <w:rFonts w:cs="Times New Roman"/>
          <w:noProof/>
          <w:color w:val="auto"/>
          <w:szCs w:val="24"/>
          <w:u w:val="none"/>
        </w:rPr>
      </w:pPr>
      <w:r w:rsidRPr="00505FEB">
        <w:rPr>
          <w:rStyle w:val="Hyperlink"/>
          <w:rFonts w:cs="Times New Roman"/>
          <w:noProof/>
          <w:color w:val="auto"/>
          <w:szCs w:val="24"/>
          <w:u w:val="none"/>
        </w:rPr>
        <w:t>Bryman, A. (2016). Social Research Methods. Oxford University Press.</w:t>
      </w:r>
    </w:p>
    <w:p w14:paraId="1D067276" w14:textId="77777777" w:rsidR="00505FEB" w:rsidRPr="00505FEB" w:rsidRDefault="00505FEB" w:rsidP="008724AA">
      <w:pPr>
        <w:widowControl w:val="0"/>
        <w:autoSpaceDE w:val="0"/>
        <w:autoSpaceDN w:val="0"/>
        <w:adjustRightInd w:val="0"/>
        <w:spacing w:line="360" w:lineRule="auto"/>
        <w:ind w:left="480" w:hanging="480"/>
        <w:rPr>
          <w:rStyle w:val="Hyperlink"/>
          <w:rFonts w:cs="Times New Roman"/>
          <w:noProof/>
          <w:color w:val="auto"/>
          <w:szCs w:val="24"/>
          <w:u w:val="none"/>
        </w:rPr>
      </w:pPr>
      <w:r w:rsidRPr="00505FEB">
        <w:rPr>
          <w:rStyle w:val="Hyperlink"/>
          <w:rFonts w:cs="Times New Roman"/>
          <w:noProof/>
          <w:color w:val="auto"/>
          <w:szCs w:val="24"/>
          <w:u w:val="none"/>
        </w:rPr>
        <w:t>Creswell, J.W. (2014). Research Design: Qualitative, Quantitative, and Mixed Methods Approaches. Sage Publications.</w:t>
      </w:r>
    </w:p>
    <w:p w14:paraId="1B61D018" w14:textId="77777777" w:rsidR="00505FEB" w:rsidRPr="00505FEB" w:rsidRDefault="00505FEB" w:rsidP="008724AA">
      <w:pPr>
        <w:widowControl w:val="0"/>
        <w:autoSpaceDE w:val="0"/>
        <w:autoSpaceDN w:val="0"/>
        <w:adjustRightInd w:val="0"/>
        <w:spacing w:line="360" w:lineRule="auto"/>
        <w:ind w:left="480" w:hanging="480"/>
        <w:rPr>
          <w:rStyle w:val="Hyperlink"/>
          <w:rFonts w:cs="Times New Roman"/>
          <w:noProof/>
          <w:color w:val="auto"/>
          <w:szCs w:val="24"/>
          <w:u w:val="none"/>
        </w:rPr>
      </w:pPr>
      <w:r w:rsidRPr="00505FEB">
        <w:rPr>
          <w:rStyle w:val="Hyperlink"/>
          <w:rFonts w:cs="Times New Roman"/>
          <w:noProof/>
          <w:color w:val="auto"/>
          <w:szCs w:val="24"/>
          <w:u w:val="none"/>
        </w:rPr>
        <w:t>Denzin, N.K. (2017). The Research Act: A Theoretical Introduction to Sociological Methods. Aldine Transaction.</w:t>
      </w:r>
    </w:p>
    <w:p w14:paraId="1278D72D" w14:textId="77777777" w:rsidR="00505FEB" w:rsidRPr="00505FEB" w:rsidRDefault="00505FEB" w:rsidP="008724AA">
      <w:pPr>
        <w:widowControl w:val="0"/>
        <w:autoSpaceDE w:val="0"/>
        <w:autoSpaceDN w:val="0"/>
        <w:adjustRightInd w:val="0"/>
        <w:spacing w:line="360" w:lineRule="auto"/>
        <w:ind w:left="480" w:hanging="480"/>
        <w:rPr>
          <w:rStyle w:val="Hyperlink"/>
          <w:rFonts w:cs="Times New Roman"/>
          <w:noProof/>
          <w:color w:val="auto"/>
          <w:szCs w:val="24"/>
          <w:u w:val="none"/>
        </w:rPr>
      </w:pPr>
      <w:r w:rsidRPr="00505FEB">
        <w:rPr>
          <w:rStyle w:val="Hyperlink"/>
          <w:rFonts w:cs="Times New Roman"/>
          <w:noProof/>
          <w:color w:val="auto"/>
          <w:szCs w:val="24"/>
          <w:u w:val="none"/>
        </w:rPr>
        <w:t>Etikan, I., Musa, S.A., &amp; Alkassim, R.S. (2016). "Comparison of Convenience Sampling and Purposive Sampling." American Journal of Theoretical and Applied Statistics, 5(1), 1-4.</w:t>
      </w:r>
    </w:p>
    <w:p w14:paraId="40E3A480" w14:textId="77777777" w:rsidR="00505FEB" w:rsidRPr="00505FEB" w:rsidRDefault="00505FEB" w:rsidP="008724AA">
      <w:pPr>
        <w:widowControl w:val="0"/>
        <w:autoSpaceDE w:val="0"/>
        <w:autoSpaceDN w:val="0"/>
        <w:adjustRightInd w:val="0"/>
        <w:spacing w:line="360" w:lineRule="auto"/>
        <w:ind w:left="480" w:hanging="480"/>
        <w:rPr>
          <w:rStyle w:val="Hyperlink"/>
          <w:rFonts w:cs="Times New Roman"/>
          <w:noProof/>
          <w:color w:val="auto"/>
          <w:szCs w:val="24"/>
          <w:u w:val="none"/>
        </w:rPr>
      </w:pPr>
      <w:r w:rsidRPr="00505FEB">
        <w:rPr>
          <w:rStyle w:val="Hyperlink"/>
          <w:rFonts w:cs="Times New Roman"/>
          <w:noProof/>
          <w:color w:val="auto"/>
          <w:szCs w:val="24"/>
          <w:u w:val="none"/>
        </w:rPr>
        <w:t>Field, A. (2013). Discovering Statistics Using IBM SPSS Statistics. Sage Publications.</w:t>
      </w:r>
    </w:p>
    <w:p w14:paraId="782AA374" w14:textId="77777777" w:rsidR="00505FEB" w:rsidRPr="00505FEB" w:rsidRDefault="00505FEB" w:rsidP="008724AA">
      <w:pPr>
        <w:widowControl w:val="0"/>
        <w:autoSpaceDE w:val="0"/>
        <w:autoSpaceDN w:val="0"/>
        <w:adjustRightInd w:val="0"/>
        <w:spacing w:line="360" w:lineRule="auto"/>
        <w:ind w:left="480" w:hanging="480"/>
        <w:rPr>
          <w:rStyle w:val="Hyperlink"/>
          <w:rFonts w:cs="Times New Roman"/>
          <w:noProof/>
          <w:color w:val="auto"/>
          <w:szCs w:val="24"/>
          <w:u w:val="none"/>
        </w:rPr>
      </w:pPr>
      <w:r w:rsidRPr="00505FEB">
        <w:rPr>
          <w:rStyle w:val="Hyperlink"/>
          <w:rFonts w:cs="Times New Roman"/>
          <w:noProof/>
          <w:color w:val="auto"/>
          <w:szCs w:val="24"/>
          <w:u w:val="none"/>
        </w:rPr>
        <w:t>Fowler, F.J. (2014). Survey Research Methods. Sage Publications.</w:t>
      </w:r>
    </w:p>
    <w:p w14:paraId="16CD9AFF" w14:textId="77777777" w:rsidR="00505FEB" w:rsidRPr="00505FEB" w:rsidRDefault="00505FEB" w:rsidP="008724AA">
      <w:pPr>
        <w:widowControl w:val="0"/>
        <w:autoSpaceDE w:val="0"/>
        <w:autoSpaceDN w:val="0"/>
        <w:adjustRightInd w:val="0"/>
        <w:spacing w:line="360" w:lineRule="auto"/>
        <w:ind w:left="480" w:hanging="480"/>
        <w:rPr>
          <w:rStyle w:val="Hyperlink"/>
          <w:rFonts w:cs="Times New Roman"/>
          <w:noProof/>
          <w:color w:val="auto"/>
          <w:szCs w:val="24"/>
          <w:u w:val="none"/>
        </w:rPr>
      </w:pPr>
      <w:r w:rsidRPr="00505FEB">
        <w:rPr>
          <w:rStyle w:val="Hyperlink"/>
          <w:rFonts w:cs="Times New Roman"/>
          <w:noProof/>
          <w:color w:val="auto"/>
          <w:szCs w:val="24"/>
          <w:u w:val="none"/>
        </w:rPr>
        <w:t>Heale, R., &amp; Twycross, A. (2015). "Validity and Reliability in Quantitative Studies." Evidence-Based Nursing, 18(3), 66-67.</w:t>
      </w:r>
    </w:p>
    <w:p w14:paraId="68BFD3DE" w14:textId="77777777" w:rsidR="00505FEB" w:rsidRPr="00505FEB" w:rsidRDefault="00505FEB" w:rsidP="008724AA">
      <w:pPr>
        <w:widowControl w:val="0"/>
        <w:autoSpaceDE w:val="0"/>
        <w:autoSpaceDN w:val="0"/>
        <w:adjustRightInd w:val="0"/>
        <w:spacing w:line="360" w:lineRule="auto"/>
        <w:ind w:left="480" w:hanging="480"/>
        <w:rPr>
          <w:rStyle w:val="Hyperlink"/>
          <w:rFonts w:cs="Times New Roman"/>
          <w:noProof/>
          <w:color w:val="auto"/>
          <w:szCs w:val="24"/>
          <w:u w:val="none"/>
        </w:rPr>
      </w:pPr>
      <w:r w:rsidRPr="00505FEB">
        <w:rPr>
          <w:rStyle w:val="Hyperlink"/>
          <w:rFonts w:cs="Times New Roman"/>
          <w:noProof/>
          <w:color w:val="auto"/>
          <w:szCs w:val="24"/>
          <w:u w:val="none"/>
        </w:rPr>
        <w:t>Johnson, R.B., &amp; Johnson, A. (2021). "The Importance of Response Rates in Research." Educational Research Review, 34, 100-105.</w:t>
      </w:r>
    </w:p>
    <w:p w14:paraId="222FE46F" w14:textId="77777777" w:rsidR="00505FEB" w:rsidRPr="00505FEB" w:rsidRDefault="00505FEB" w:rsidP="008724AA">
      <w:pPr>
        <w:widowControl w:val="0"/>
        <w:autoSpaceDE w:val="0"/>
        <w:autoSpaceDN w:val="0"/>
        <w:adjustRightInd w:val="0"/>
        <w:spacing w:line="360" w:lineRule="auto"/>
        <w:ind w:left="480" w:hanging="480"/>
        <w:rPr>
          <w:rStyle w:val="Hyperlink"/>
          <w:rFonts w:cs="Times New Roman"/>
          <w:noProof/>
          <w:color w:val="auto"/>
          <w:szCs w:val="24"/>
          <w:u w:val="none"/>
        </w:rPr>
      </w:pPr>
      <w:r w:rsidRPr="00505FEB">
        <w:rPr>
          <w:rStyle w:val="Hyperlink"/>
          <w:rFonts w:cs="Times New Roman"/>
          <w:noProof/>
          <w:color w:val="auto"/>
          <w:szCs w:val="24"/>
          <w:u w:val="none"/>
        </w:rPr>
        <w:t>Patton, M.Q. (2015). Qualitative Research &amp; Evaluation Methods. Sage Publications.</w:t>
      </w:r>
    </w:p>
    <w:p w14:paraId="225B48AC" w14:textId="77777777" w:rsidR="00505FEB" w:rsidRPr="00505FEB" w:rsidRDefault="00505FEB" w:rsidP="008724AA">
      <w:pPr>
        <w:widowControl w:val="0"/>
        <w:autoSpaceDE w:val="0"/>
        <w:autoSpaceDN w:val="0"/>
        <w:adjustRightInd w:val="0"/>
        <w:spacing w:line="360" w:lineRule="auto"/>
        <w:ind w:left="480" w:hanging="480"/>
        <w:rPr>
          <w:rStyle w:val="Hyperlink"/>
          <w:rFonts w:cs="Times New Roman"/>
          <w:noProof/>
          <w:color w:val="auto"/>
          <w:szCs w:val="24"/>
          <w:u w:val="none"/>
        </w:rPr>
      </w:pPr>
      <w:r w:rsidRPr="00505FEB">
        <w:rPr>
          <w:rStyle w:val="Hyperlink"/>
          <w:rFonts w:cs="Times New Roman"/>
          <w:noProof/>
          <w:color w:val="auto"/>
          <w:szCs w:val="24"/>
          <w:u w:val="none"/>
        </w:rPr>
        <w:t>QSR International. (2020). NVivo 12: Getting Started. QSR International.</w:t>
      </w:r>
    </w:p>
    <w:p w14:paraId="22FFB9DD" w14:textId="77777777" w:rsidR="00505FEB" w:rsidRPr="004D3ED2" w:rsidRDefault="00505FEB" w:rsidP="008724AA">
      <w:pPr>
        <w:widowControl w:val="0"/>
        <w:autoSpaceDE w:val="0"/>
        <w:autoSpaceDN w:val="0"/>
        <w:adjustRightInd w:val="0"/>
        <w:spacing w:line="360" w:lineRule="auto"/>
        <w:ind w:left="480" w:hanging="480"/>
        <w:rPr>
          <w:rFonts w:cs="Times New Roman"/>
          <w:noProof/>
        </w:rPr>
      </w:pPr>
    </w:p>
    <w:p w14:paraId="478A22C9" w14:textId="77777777" w:rsidR="0096758B" w:rsidRDefault="004D3ED2" w:rsidP="008724AA">
      <w:pPr>
        <w:spacing w:line="360" w:lineRule="auto"/>
        <w:ind w:firstLine="0"/>
      </w:pPr>
      <w:r>
        <w:fldChar w:fldCharType="end"/>
      </w:r>
    </w:p>
    <w:sectPr w:rsidR="0096758B" w:rsidSect="00C53105">
      <w:headerReference w:type="default" r:id="rId33"/>
      <w:footerReference w:type="default" r:id="rId34"/>
      <w:headerReference w:type="first" r:id="rId35"/>
      <w:footerReference w:type="first" r:id="rId36"/>
      <w:pgSz w:w="12240" w:h="15840" w:code="1"/>
      <w:pgMar w:top="1440" w:right="1440" w:bottom="1080" w:left="936" w:header="1440" w:footer="1440" w:gutter="86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649B0" w14:textId="77777777" w:rsidR="00097AC1" w:rsidRDefault="00097AC1" w:rsidP="008B66DC">
      <w:pPr>
        <w:spacing w:line="240" w:lineRule="auto"/>
      </w:pPr>
      <w:r>
        <w:separator/>
      </w:r>
    </w:p>
  </w:endnote>
  <w:endnote w:type="continuationSeparator" w:id="0">
    <w:p w14:paraId="5B8BCE5D" w14:textId="77777777" w:rsidR="00097AC1" w:rsidRDefault="00097AC1" w:rsidP="008B6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93288"/>
      <w:docPartObj>
        <w:docPartGallery w:val="Page Numbers (Bottom of Page)"/>
        <w:docPartUnique/>
      </w:docPartObj>
    </w:sdtPr>
    <w:sdtEndPr>
      <w:rPr>
        <w:noProof/>
      </w:rPr>
    </w:sdtEndPr>
    <w:sdtContent>
      <w:p w14:paraId="4E9463EA" w14:textId="5693D306" w:rsidR="00711F2B" w:rsidRDefault="00711F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67221C" w14:textId="77777777" w:rsidR="00711F2B" w:rsidRDefault="00711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129861"/>
      <w:docPartObj>
        <w:docPartGallery w:val="Page Numbers (Bottom of Page)"/>
        <w:docPartUnique/>
      </w:docPartObj>
    </w:sdtPr>
    <w:sdtEndPr>
      <w:rPr>
        <w:noProof/>
      </w:rPr>
    </w:sdtEndPr>
    <w:sdtContent>
      <w:p w14:paraId="2FE6946D" w14:textId="390B0D65" w:rsidR="00711F2B" w:rsidRDefault="00711F2B" w:rsidP="00711F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76ABD" w14:textId="77777777" w:rsidR="00711F2B" w:rsidRDefault="00711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C2D33" w14:textId="77777777" w:rsidR="00097AC1" w:rsidRDefault="00097AC1" w:rsidP="008B66DC">
      <w:pPr>
        <w:spacing w:line="240" w:lineRule="auto"/>
      </w:pPr>
      <w:r>
        <w:separator/>
      </w:r>
    </w:p>
  </w:footnote>
  <w:footnote w:type="continuationSeparator" w:id="0">
    <w:p w14:paraId="63A0E5BD" w14:textId="77777777" w:rsidR="00097AC1" w:rsidRDefault="00097AC1" w:rsidP="008B66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FEDD9" w14:textId="184FB18D" w:rsidR="008B66DC" w:rsidRPr="00C53105" w:rsidRDefault="00C53105" w:rsidP="00C53105">
    <w:pPr>
      <w:pStyle w:val="Header"/>
      <w:jc w:val="right"/>
      <w:rPr>
        <w:lang w:val="en-US"/>
      </w:rPr>
    </w:pPr>
    <w:r w:rsidRPr="00C53105">
      <w:rPr>
        <w:lang w:val="en-US"/>
      </w:rPr>
      <w:t>N</w:t>
    </w:r>
    <w:r w:rsidR="00273BAB">
      <w:rPr>
        <w:lang w:val="en-US"/>
      </w:rPr>
      <w:t xml:space="preserve">. </w:t>
    </w:r>
    <w:r w:rsidRPr="00C53105">
      <w:rPr>
        <w:lang w:val="en-US"/>
      </w:rPr>
      <w:t>Masango, W</w:t>
    </w:r>
    <w:r w:rsidR="00273BAB">
      <w:rPr>
        <w:lang w:val="en-US"/>
      </w:rPr>
      <w:t xml:space="preserve">. </w:t>
    </w:r>
    <w:r w:rsidRPr="00C53105">
      <w:rPr>
        <w:lang w:val="en-US"/>
      </w:rPr>
      <w:t xml:space="preserve">Nyamangodo, </w:t>
    </w:r>
    <w:r w:rsidR="00273BAB" w:rsidRPr="00C53105">
      <w:rPr>
        <w:lang w:val="en-US"/>
      </w:rPr>
      <w:t>P</w:t>
    </w:r>
    <w:r w:rsidR="00273BAB">
      <w:rPr>
        <w:lang w:val="en-US"/>
      </w:rPr>
      <w:t xml:space="preserve">. </w:t>
    </w:r>
    <w:r w:rsidRPr="00C53105">
      <w:rPr>
        <w:lang w:val="en-US"/>
      </w:rPr>
      <w:t>Sithole</w:t>
    </w:r>
  </w:p>
  <w:p w14:paraId="0AC47128" w14:textId="77777777" w:rsidR="008B66DC" w:rsidRDefault="008B66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2A1F9" w14:textId="57215679" w:rsidR="00C53105" w:rsidRPr="00C53105" w:rsidRDefault="00C53105" w:rsidP="00C53105">
    <w:pPr>
      <w:tabs>
        <w:tab w:val="center" w:pos="4680"/>
        <w:tab w:val="right" w:pos="9360"/>
      </w:tabs>
      <w:spacing w:line="240" w:lineRule="auto"/>
      <w:ind w:left="3600"/>
      <w:rPr>
        <w:lang w:val="en-GB"/>
      </w:rPr>
    </w:pPr>
    <w:r w:rsidRPr="00C53105">
      <w:rPr>
        <w:rFonts w:ascii="Calibri" w:eastAsia="SimSun" w:hAnsi="Calibri" w:cs="Times New Roman"/>
        <w:b/>
        <w:noProof/>
        <w:sz w:val="20"/>
        <w:szCs w:val="20"/>
        <w:lang w:val="en-US" w:eastAsia="en-US"/>
      </w:rPr>
      <w:drawing>
        <wp:anchor distT="0" distB="0" distL="114300" distR="114300" simplePos="0" relativeHeight="251659264" behindDoc="0" locked="0" layoutInCell="1" allowOverlap="1" wp14:anchorId="06B4E661" wp14:editId="64F6D2CE">
          <wp:simplePos x="0" y="0"/>
          <wp:positionH relativeFrom="margin">
            <wp:posOffset>-182880</wp:posOffset>
          </wp:positionH>
          <wp:positionV relativeFrom="paragraph">
            <wp:posOffset>-279400</wp:posOffset>
          </wp:positionV>
          <wp:extent cx="504825" cy="713740"/>
          <wp:effectExtent l="0" t="0" r="9525" b="0"/>
          <wp:wrapSquare wrapText="bothSides"/>
          <wp:docPr id="506863648" name="Picture 50686364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04825" cy="713740"/>
                  </a:xfrm>
                  <a:prstGeom prst="rect">
                    <a:avLst/>
                  </a:prstGeom>
                </pic:spPr>
              </pic:pic>
            </a:graphicData>
          </a:graphic>
          <wp14:sizeRelH relativeFrom="margin">
            <wp14:pctWidth>0</wp14:pctWidth>
          </wp14:sizeRelH>
          <wp14:sizeRelV relativeFrom="margin">
            <wp14:pctHeight>0</wp14:pctHeight>
          </wp14:sizeRelV>
        </wp:anchor>
      </w:drawing>
    </w:r>
    <w:r w:rsidRPr="00C53105">
      <w:rPr>
        <w:lang w:val="en-GB"/>
      </w:rPr>
      <w:t xml:space="preserve">Africa Journal of Leadership and Governance         </w:t>
    </w:r>
    <w:r w:rsidRPr="00C53105">
      <w:rPr>
        <w:lang w:val="en-GB"/>
      </w:rPr>
      <w:tab/>
      <w:t xml:space="preserve">            Vol. 3, No. 1, 2024 </w:t>
    </w:r>
    <w:r w:rsidRPr="00C53105">
      <w:rPr>
        <w:lang w:val="en-GB"/>
      </w:rPr>
      <w:tab/>
    </w:r>
  </w:p>
  <w:p w14:paraId="589C7EAF" w14:textId="77777777" w:rsidR="00C53105" w:rsidRPr="00C53105" w:rsidRDefault="00C53105" w:rsidP="00C53105">
    <w:pPr>
      <w:tabs>
        <w:tab w:val="center" w:pos="4680"/>
        <w:tab w:val="right" w:pos="9360"/>
      </w:tabs>
      <w:spacing w:line="240" w:lineRule="auto"/>
      <w:ind w:firstLine="4320"/>
      <w:rPr>
        <w:lang w:val="en-GB"/>
      </w:rPr>
    </w:pPr>
    <w:r w:rsidRPr="00C53105">
      <w:rPr>
        <w:noProof/>
        <w:lang w:val="en-US" w:eastAsia="en-US"/>
      </w:rPr>
      <mc:AlternateContent>
        <mc:Choice Requires="wps">
          <w:drawing>
            <wp:anchor distT="0" distB="0" distL="114300" distR="114300" simplePos="0" relativeHeight="251660288" behindDoc="0" locked="0" layoutInCell="1" allowOverlap="1" wp14:anchorId="6C02122F" wp14:editId="26807DC0">
              <wp:simplePos x="0" y="0"/>
              <wp:positionH relativeFrom="column">
                <wp:posOffset>-259080</wp:posOffset>
              </wp:positionH>
              <wp:positionV relativeFrom="paragraph">
                <wp:posOffset>215900</wp:posOffset>
              </wp:positionV>
              <wp:extent cx="6057900" cy="0"/>
              <wp:effectExtent l="0" t="0" r="19050" b="38100"/>
              <wp:wrapNone/>
              <wp:docPr id="579738422" name="Straight Connector 3"/>
              <wp:cNvGraphicFramePr/>
              <a:graphic xmlns:a="http://schemas.openxmlformats.org/drawingml/2006/main">
                <a:graphicData uri="http://schemas.microsoft.com/office/word/2010/wordprocessingShape">
                  <wps:wsp>
                    <wps:cNvCnPr/>
                    <wps:spPr>
                      <a:xfrm>
                        <a:off x="0" y="0"/>
                        <a:ext cx="60579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9905FF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4pt,17pt" to="456.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" strokecolor="windowText" strokeweight=".5pt">
              <v:stroke joinstyle="miter"/>
            </v:line>
          </w:pict>
        </mc:Fallback>
      </mc:AlternateContent>
    </w:r>
    <w:r w:rsidRPr="00C53105">
      <w:rPr>
        <w:lang w:val="en-GB"/>
      </w:rPr>
      <w:t xml:space="preserve"> ISSN 2959-3492</w:t>
    </w:r>
  </w:p>
  <w:p w14:paraId="378A8935" w14:textId="77777777" w:rsidR="00C53105" w:rsidRDefault="00C53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6CC8"/>
    <w:multiLevelType w:val="multilevel"/>
    <w:tmpl w:val="E51C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1752E"/>
    <w:multiLevelType w:val="multilevel"/>
    <w:tmpl w:val="2F6CAE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color w:val="auto"/>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1C16C1A"/>
    <w:multiLevelType w:val="multilevel"/>
    <w:tmpl w:val="C61E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85641"/>
    <w:multiLevelType w:val="multilevel"/>
    <w:tmpl w:val="A66062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4" w15:restartNumberingAfterBreak="0">
    <w:nsid w:val="61A82EE7"/>
    <w:multiLevelType w:val="hybridMultilevel"/>
    <w:tmpl w:val="0EC8921A"/>
    <w:lvl w:ilvl="0" w:tplc="0310E2BC">
      <w:start w:val="1"/>
      <w:numFmt w:val="bullet"/>
      <w:lvlText w:val=""/>
      <w:lvlJc w:val="left"/>
      <w:pPr>
        <w:ind w:left="720" w:hanging="360"/>
      </w:pPr>
      <w:rPr>
        <w:rFonts w:ascii="Wingdings" w:hAnsi="Wingdings" w:hint="default"/>
      </w:rPr>
    </w:lvl>
    <w:lvl w:ilvl="1" w:tplc="CC289D72" w:tentative="1">
      <w:start w:val="1"/>
      <w:numFmt w:val="bullet"/>
      <w:lvlText w:val="o"/>
      <w:lvlJc w:val="left"/>
      <w:pPr>
        <w:ind w:left="1440" w:hanging="360"/>
      </w:pPr>
      <w:rPr>
        <w:rFonts w:ascii="Courier New" w:hAnsi="Courier New" w:cs="Courier New" w:hint="default"/>
      </w:rPr>
    </w:lvl>
    <w:lvl w:ilvl="2" w:tplc="972A8C80" w:tentative="1">
      <w:start w:val="1"/>
      <w:numFmt w:val="bullet"/>
      <w:lvlText w:val=""/>
      <w:lvlJc w:val="left"/>
      <w:pPr>
        <w:ind w:left="2160" w:hanging="360"/>
      </w:pPr>
      <w:rPr>
        <w:rFonts w:ascii="Wingdings" w:hAnsi="Wingdings" w:hint="default"/>
      </w:rPr>
    </w:lvl>
    <w:lvl w:ilvl="3" w:tplc="9BCC756E" w:tentative="1">
      <w:start w:val="1"/>
      <w:numFmt w:val="bullet"/>
      <w:lvlText w:val=""/>
      <w:lvlJc w:val="left"/>
      <w:pPr>
        <w:ind w:left="2880" w:hanging="360"/>
      </w:pPr>
      <w:rPr>
        <w:rFonts w:ascii="Symbol" w:hAnsi="Symbol" w:hint="default"/>
      </w:rPr>
    </w:lvl>
    <w:lvl w:ilvl="4" w:tplc="725A5164" w:tentative="1">
      <w:start w:val="1"/>
      <w:numFmt w:val="bullet"/>
      <w:lvlText w:val="o"/>
      <w:lvlJc w:val="left"/>
      <w:pPr>
        <w:ind w:left="3600" w:hanging="360"/>
      </w:pPr>
      <w:rPr>
        <w:rFonts w:ascii="Courier New" w:hAnsi="Courier New" w:cs="Courier New" w:hint="default"/>
      </w:rPr>
    </w:lvl>
    <w:lvl w:ilvl="5" w:tplc="DA3CE3AA" w:tentative="1">
      <w:start w:val="1"/>
      <w:numFmt w:val="bullet"/>
      <w:lvlText w:val=""/>
      <w:lvlJc w:val="left"/>
      <w:pPr>
        <w:ind w:left="4320" w:hanging="360"/>
      </w:pPr>
      <w:rPr>
        <w:rFonts w:ascii="Wingdings" w:hAnsi="Wingdings" w:hint="default"/>
      </w:rPr>
    </w:lvl>
    <w:lvl w:ilvl="6" w:tplc="A0FA3026" w:tentative="1">
      <w:start w:val="1"/>
      <w:numFmt w:val="bullet"/>
      <w:lvlText w:val=""/>
      <w:lvlJc w:val="left"/>
      <w:pPr>
        <w:ind w:left="5040" w:hanging="360"/>
      </w:pPr>
      <w:rPr>
        <w:rFonts w:ascii="Symbol" w:hAnsi="Symbol" w:hint="default"/>
      </w:rPr>
    </w:lvl>
    <w:lvl w:ilvl="7" w:tplc="729E7F02" w:tentative="1">
      <w:start w:val="1"/>
      <w:numFmt w:val="bullet"/>
      <w:lvlText w:val="o"/>
      <w:lvlJc w:val="left"/>
      <w:pPr>
        <w:ind w:left="5760" w:hanging="360"/>
      </w:pPr>
      <w:rPr>
        <w:rFonts w:ascii="Courier New" w:hAnsi="Courier New" w:cs="Courier New" w:hint="default"/>
      </w:rPr>
    </w:lvl>
    <w:lvl w:ilvl="8" w:tplc="14C411B0" w:tentative="1">
      <w:start w:val="1"/>
      <w:numFmt w:val="bullet"/>
      <w:lvlText w:val=""/>
      <w:lvlJc w:val="left"/>
      <w:pPr>
        <w:ind w:left="6480" w:hanging="360"/>
      </w:pPr>
      <w:rPr>
        <w:rFonts w:ascii="Wingdings" w:hAnsi="Wingdings" w:hint="default"/>
      </w:rPr>
    </w:lvl>
  </w:abstractNum>
  <w:abstractNum w:abstractNumId="5" w15:restartNumberingAfterBreak="0">
    <w:nsid w:val="65193EE6"/>
    <w:multiLevelType w:val="multilevel"/>
    <w:tmpl w:val="2BFCABCC"/>
    <w:lvl w:ilvl="0">
      <w:start w:val="1"/>
      <w:numFmt w:val="decimal"/>
      <w:lvlText w:val="%1"/>
      <w:lvlJc w:val="left"/>
      <w:pPr>
        <w:ind w:left="5961"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03312A9"/>
    <w:multiLevelType w:val="multilevel"/>
    <w:tmpl w:val="CBE6CE36"/>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0"/>
      <w:numFmt w:val="decimal"/>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C0E0B4D"/>
    <w:multiLevelType w:val="multilevel"/>
    <w:tmpl w:val="FD10FB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color w:val="auto"/>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915020599">
    <w:abstractNumId w:val="1"/>
  </w:num>
  <w:num w:numId="2" w16cid:durableId="333996567">
    <w:abstractNumId w:val="1"/>
  </w:num>
  <w:num w:numId="3" w16cid:durableId="1600143133">
    <w:abstractNumId w:val="1"/>
  </w:num>
  <w:num w:numId="4" w16cid:durableId="151216790">
    <w:abstractNumId w:val="1"/>
  </w:num>
  <w:num w:numId="5" w16cid:durableId="1956405496">
    <w:abstractNumId w:val="1"/>
  </w:num>
  <w:num w:numId="6" w16cid:durableId="2128044859">
    <w:abstractNumId w:val="7"/>
  </w:num>
  <w:num w:numId="7" w16cid:durableId="1766344678">
    <w:abstractNumId w:val="6"/>
  </w:num>
  <w:num w:numId="8" w16cid:durableId="1092124055">
    <w:abstractNumId w:val="0"/>
  </w:num>
  <w:num w:numId="9" w16cid:durableId="1142768558">
    <w:abstractNumId w:val="2"/>
  </w:num>
  <w:num w:numId="10" w16cid:durableId="1610241351">
    <w:abstractNumId w:val="5"/>
  </w:num>
  <w:num w:numId="11" w16cid:durableId="668947792">
    <w:abstractNumId w:val="3"/>
  </w:num>
  <w:num w:numId="12" w16cid:durableId="919170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6DC"/>
    <w:rsid w:val="00022028"/>
    <w:rsid w:val="00097AC1"/>
    <w:rsid w:val="00125F5A"/>
    <w:rsid w:val="00134F27"/>
    <w:rsid w:val="00147A81"/>
    <w:rsid w:val="00256AB2"/>
    <w:rsid w:val="00273BAB"/>
    <w:rsid w:val="00285671"/>
    <w:rsid w:val="002C0F99"/>
    <w:rsid w:val="002E15C4"/>
    <w:rsid w:val="002E1A55"/>
    <w:rsid w:val="002E48B4"/>
    <w:rsid w:val="00303A5C"/>
    <w:rsid w:val="00361005"/>
    <w:rsid w:val="003A59CA"/>
    <w:rsid w:val="003B131C"/>
    <w:rsid w:val="003E1128"/>
    <w:rsid w:val="00412A73"/>
    <w:rsid w:val="00416CEA"/>
    <w:rsid w:val="00427539"/>
    <w:rsid w:val="00460F1D"/>
    <w:rsid w:val="004B6B0C"/>
    <w:rsid w:val="004D3ED2"/>
    <w:rsid w:val="004E45D9"/>
    <w:rsid w:val="00505FEB"/>
    <w:rsid w:val="00520129"/>
    <w:rsid w:val="00520F95"/>
    <w:rsid w:val="00525872"/>
    <w:rsid w:val="005354E8"/>
    <w:rsid w:val="00544A0B"/>
    <w:rsid w:val="005B5485"/>
    <w:rsid w:val="006150A4"/>
    <w:rsid w:val="0065347D"/>
    <w:rsid w:val="00690A55"/>
    <w:rsid w:val="006B4739"/>
    <w:rsid w:val="006C2AF5"/>
    <w:rsid w:val="006E6E62"/>
    <w:rsid w:val="006F72E6"/>
    <w:rsid w:val="00711F2B"/>
    <w:rsid w:val="007141CD"/>
    <w:rsid w:val="0074401B"/>
    <w:rsid w:val="007A1B27"/>
    <w:rsid w:val="007E326C"/>
    <w:rsid w:val="007E4351"/>
    <w:rsid w:val="00821DE0"/>
    <w:rsid w:val="008662F0"/>
    <w:rsid w:val="008724AA"/>
    <w:rsid w:val="008803AC"/>
    <w:rsid w:val="008B66DC"/>
    <w:rsid w:val="008E1BF4"/>
    <w:rsid w:val="008F5B7E"/>
    <w:rsid w:val="0092096A"/>
    <w:rsid w:val="0096758B"/>
    <w:rsid w:val="00A10BCC"/>
    <w:rsid w:val="00AD7673"/>
    <w:rsid w:val="00AE01BD"/>
    <w:rsid w:val="00AE49DA"/>
    <w:rsid w:val="00B05C06"/>
    <w:rsid w:val="00B2221B"/>
    <w:rsid w:val="00B572AC"/>
    <w:rsid w:val="00B77B7B"/>
    <w:rsid w:val="00B85A60"/>
    <w:rsid w:val="00C53105"/>
    <w:rsid w:val="00C567EF"/>
    <w:rsid w:val="00CB6CDB"/>
    <w:rsid w:val="00CC524B"/>
    <w:rsid w:val="00D042CB"/>
    <w:rsid w:val="00D41E49"/>
    <w:rsid w:val="00DB2D22"/>
    <w:rsid w:val="00DF4B8D"/>
    <w:rsid w:val="00E01087"/>
    <w:rsid w:val="00E50D15"/>
    <w:rsid w:val="00E946DE"/>
    <w:rsid w:val="00F20754"/>
    <w:rsid w:val="00FB2774"/>
    <w:rsid w:val="00FD5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9FC9B9"/>
  <w15:docId w15:val="{1E670731-2D67-4B15-88B3-D55F0837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4"/>
        <w:szCs w:val="24"/>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47D"/>
    <w:rPr>
      <w:rFonts w:cs="Calibri"/>
      <w:color w:val="000000"/>
      <w:szCs w:val="22"/>
      <w:lang w:val="en-ZW" w:eastAsia="en-ZW"/>
    </w:rPr>
  </w:style>
  <w:style w:type="paragraph" w:styleId="Heading1">
    <w:name w:val="heading 1"/>
    <w:basedOn w:val="Normal"/>
    <w:next w:val="Normal"/>
    <w:link w:val="Heading1Char"/>
    <w:autoRedefine/>
    <w:uiPriority w:val="9"/>
    <w:qFormat/>
    <w:rsid w:val="00B05C06"/>
    <w:pPr>
      <w:spacing w:line="240" w:lineRule="auto"/>
      <w:jc w:val="center"/>
      <w:outlineLvl w:val="0"/>
    </w:pPr>
    <w:rPr>
      <w:b/>
      <w:lang w:val="en-US"/>
    </w:rPr>
  </w:style>
  <w:style w:type="paragraph" w:styleId="Heading2">
    <w:name w:val="heading 2"/>
    <w:basedOn w:val="Normal"/>
    <w:next w:val="Normal"/>
    <w:link w:val="Heading2Char"/>
    <w:autoRedefine/>
    <w:uiPriority w:val="9"/>
    <w:unhideWhenUsed/>
    <w:qFormat/>
    <w:rsid w:val="007141CD"/>
    <w:pPr>
      <w:keepNext/>
      <w:keepLines/>
      <w:spacing w:before="200" w:line="276" w:lineRule="auto"/>
      <w:ind w:firstLine="0"/>
      <w:outlineLvl w:val="1"/>
    </w:pPr>
    <w:rPr>
      <w:rFonts w:eastAsiaTheme="majorEastAsia" w:cstheme="majorBidi"/>
      <w:b/>
      <w:bCs/>
      <w:szCs w:val="26"/>
      <w:lang w:val="en-US" w:eastAsia="en-GB"/>
    </w:rPr>
  </w:style>
  <w:style w:type="paragraph" w:styleId="Heading3">
    <w:name w:val="heading 3"/>
    <w:basedOn w:val="Normal"/>
    <w:next w:val="Normal"/>
    <w:link w:val="Heading3Char"/>
    <w:autoRedefine/>
    <w:uiPriority w:val="9"/>
    <w:unhideWhenUsed/>
    <w:qFormat/>
    <w:rsid w:val="00285671"/>
    <w:pPr>
      <w:keepNext/>
      <w:keepLines/>
      <w:numPr>
        <w:ilvl w:val="2"/>
        <w:numId w:val="7"/>
      </w:numPr>
      <w:spacing w:before="160" w:after="120"/>
      <w:outlineLvl w:val="2"/>
    </w:pPr>
    <w:rPr>
      <w:rFonts w:eastAsiaTheme="majorEastAsia" w:cstheme="majorBidi"/>
      <w:szCs w:val="24"/>
      <w:lang w:val="en-US"/>
    </w:rPr>
  </w:style>
  <w:style w:type="paragraph" w:styleId="Heading4">
    <w:name w:val="heading 4"/>
    <w:basedOn w:val="Normal"/>
    <w:next w:val="Normal"/>
    <w:link w:val="Heading4Char"/>
    <w:uiPriority w:val="9"/>
    <w:unhideWhenUsed/>
    <w:qFormat/>
    <w:rsid w:val="003E1128"/>
    <w:pPr>
      <w:keepNext/>
      <w:keepLines/>
      <w:numPr>
        <w:ilvl w:val="3"/>
        <w:numId w:val="7"/>
      </w:numPr>
      <w:spacing w:before="200"/>
      <w:outlineLvl w:val="3"/>
    </w:pPr>
    <w:rPr>
      <w:rFonts w:asciiTheme="majorHAnsi" w:eastAsiaTheme="majorEastAsia" w:hAnsiTheme="majorHAnsi" w:cstheme="majorBidi"/>
      <w:b/>
      <w:bCs/>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06"/>
    <w:rPr>
      <w:rFonts w:cs="Calibri"/>
      <w:b/>
      <w:color w:val="000000"/>
      <w:szCs w:val="22"/>
      <w:lang w:eastAsia="en-ZW"/>
    </w:rPr>
  </w:style>
  <w:style w:type="paragraph" w:styleId="Caption">
    <w:name w:val="caption"/>
    <w:basedOn w:val="Normal"/>
    <w:next w:val="Normal"/>
    <w:uiPriority w:val="35"/>
    <w:semiHidden/>
    <w:unhideWhenUsed/>
    <w:qFormat/>
    <w:rsid w:val="00F20754"/>
    <w:pPr>
      <w:spacing w:line="240" w:lineRule="auto"/>
    </w:pPr>
    <w:rPr>
      <w:b/>
      <w:bCs/>
      <w:color w:val="5B9BD5" w:themeColor="accent1"/>
      <w:sz w:val="18"/>
      <w:szCs w:val="18"/>
    </w:rPr>
  </w:style>
  <w:style w:type="paragraph" w:styleId="ListParagraph">
    <w:name w:val="List Paragraph"/>
    <w:basedOn w:val="Normal"/>
    <w:uiPriority w:val="34"/>
    <w:qFormat/>
    <w:rsid w:val="00F20754"/>
    <w:pPr>
      <w:ind w:left="720"/>
      <w:contextualSpacing/>
    </w:pPr>
  </w:style>
  <w:style w:type="character" w:customStyle="1" w:styleId="Heading2Char">
    <w:name w:val="Heading 2 Char"/>
    <w:basedOn w:val="DefaultParagraphFont"/>
    <w:link w:val="Heading2"/>
    <w:uiPriority w:val="9"/>
    <w:rsid w:val="007141CD"/>
    <w:rPr>
      <w:rFonts w:eastAsiaTheme="majorEastAsia" w:cstheme="majorBidi"/>
      <w:b/>
      <w:bCs/>
      <w:color w:val="000000"/>
      <w:szCs w:val="26"/>
      <w:lang w:eastAsia="en-GB"/>
    </w:rPr>
  </w:style>
  <w:style w:type="paragraph" w:styleId="TOCHeading">
    <w:name w:val="TOC Heading"/>
    <w:basedOn w:val="Heading1"/>
    <w:next w:val="Normal"/>
    <w:uiPriority w:val="39"/>
    <w:unhideWhenUsed/>
    <w:qFormat/>
    <w:rsid w:val="00F20754"/>
    <w:pPr>
      <w:outlineLvl w:val="9"/>
    </w:pPr>
  </w:style>
  <w:style w:type="character" w:customStyle="1" w:styleId="Heading3Char">
    <w:name w:val="Heading 3 Char"/>
    <w:basedOn w:val="DefaultParagraphFont"/>
    <w:link w:val="Heading3"/>
    <w:uiPriority w:val="9"/>
    <w:rsid w:val="00285671"/>
    <w:rPr>
      <w:rFonts w:eastAsiaTheme="majorEastAsia" w:cstheme="majorBidi"/>
      <w:color w:val="000000"/>
      <w:lang w:eastAsia="en-ZW"/>
    </w:rPr>
  </w:style>
  <w:style w:type="character" w:customStyle="1" w:styleId="Heading4Char">
    <w:name w:val="Heading 4 Char"/>
    <w:basedOn w:val="DefaultParagraphFont"/>
    <w:link w:val="Heading4"/>
    <w:uiPriority w:val="9"/>
    <w:rsid w:val="003E1128"/>
    <w:rPr>
      <w:rFonts w:asciiTheme="majorHAnsi" w:eastAsiaTheme="majorEastAsia" w:hAnsiTheme="majorHAnsi" w:cstheme="majorBidi"/>
      <w:b/>
      <w:bCs/>
      <w:i/>
      <w:iCs/>
      <w:color w:val="000000" w:themeColor="text1"/>
      <w:szCs w:val="20"/>
      <w:lang w:val="en-ZW" w:eastAsia="en-ZW"/>
    </w:rPr>
  </w:style>
  <w:style w:type="paragraph" w:styleId="NoSpacing">
    <w:name w:val="No Spacing"/>
    <w:autoRedefine/>
    <w:uiPriority w:val="1"/>
    <w:qFormat/>
    <w:rsid w:val="00FD5ACC"/>
    <w:pPr>
      <w:spacing w:line="240" w:lineRule="auto"/>
    </w:pPr>
    <w:rPr>
      <w:rFonts w:cs="Calibri"/>
      <w:szCs w:val="22"/>
      <w:lang w:val="en-ZW"/>
    </w:rPr>
  </w:style>
  <w:style w:type="character" w:styleId="Hyperlink">
    <w:name w:val="Hyperlink"/>
    <w:basedOn w:val="DefaultParagraphFont"/>
    <w:uiPriority w:val="99"/>
    <w:unhideWhenUsed/>
    <w:rsid w:val="008B66DC"/>
    <w:rPr>
      <w:color w:val="0563C1" w:themeColor="hyperlink"/>
      <w:u w:val="single"/>
    </w:rPr>
  </w:style>
  <w:style w:type="paragraph" w:styleId="Header">
    <w:name w:val="header"/>
    <w:basedOn w:val="Normal"/>
    <w:link w:val="HeaderChar"/>
    <w:uiPriority w:val="99"/>
    <w:unhideWhenUsed/>
    <w:rsid w:val="008B66DC"/>
    <w:pPr>
      <w:tabs>
        <w:tab w:val="center" w:pos="4680"/>
        <w:tab w:val="right" w:pos="9360"/>
      </w:tabs>
      <w:spacing w:line="240" w:lineRule="auto"/>
    </w:pPr>
  </w:style>
  <w:style w:type="character" w:customStyle="1" w:styleId="HeaderChar">
    <w:name w:val="Header Char"/>
    <w:basedOn w:val="DefaultParagraphFont"/>
    <w:link w:val="Header"/>
    <w:uiPriority w:val="99"/>
    <w:rsid w:val="008B66DC"/>
    <w:rPr>
      <w:rFonts w:cs="Calibri"/>
      <w:color w:val="000000"/>
      <w:szCs w:val="22"/>
      <w:lang w:val="en-ZW" w:eastAsia="en-ZW"/>
    </w:rPr>
  </w:style>
  <w:style w:type="paragraph" w:styleId="Footer">
    <w:name w:val="footer"/>
    <w:basedOn w:val="Normal"/>
    <w:link w:val="FooterChar"/>
    <w:uiPriority w:val="99"/>
    <w:unhideWhenUsed/>
    <w:rsid w:val="008B66DC"/>
    <w:pPr>
      <w:tabs>
        <w:tab w:val="center" w:pos="4680"/>
        <w:tab w:val="right" w:pos="9360"/>
      </w:tabs>
      <w:spacing w:line="240" w:lineRule="auto"/>
    </w:pPr>
  </w:style>
  <w:style w:type="character" w:customStyle="1" w:styleId="FooterChar">
    <w:name w:val="Footer Char"/>
    <w:basedOn w:val="DefaultParagraphFont"/>
    <w:link w:val="Footer"/>
    <w:uiPriority w:val="99"/>
    <w:rsid w:val="008B66DC"/>
    <w:rPr>
      <w:rFonts w:cs="Calibri"/>
      <w:color w:val="000000"/>
      <w:szCs w:val="22"/>
      <w:lang w:val="en-ZW" w:eastAsia="en-ZW"/>
    </w:rPr>
  </w:style>
  <w:style w:type="table" w:styleId="TableGrid">
    <w:name w:val="Table Grid"/>
    <w:basedOn w:val="TableNormal"/>
    <w:uiPriority w:val="39"/>
    <w:rsid w:val="00CB6CDB"/>
    <w:pPr>
      <w:spacing w:line="240" w:lineRule="auto"/>
      <w:ind w:firstLine="0"/>
      <w:jc w:val="left"/>
    </w:pPr>
    <w:rPr>
      <w:rFonts w:ascii="Calibri" w:hAnsi="Calibri"/>
      <w:kern w:val="2"/>
      <w:sz w:val="22"/>
      <w:szCs w:val="22"/>
      <w:lang w:val="en-ZW"/>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1">
    <w:name w:val="Heading 31"/>
    <w:basedOn w:val="Normal"/>
    <w:next w:val="Normal"/>
    <w:unhideWhenUsed/>
    <w:qFormat/>
    <w:rsid w:val="00CB6CDB"/>
    <w:pPr>
      <w:keepNext/>
      <w:keepLines/>
      <w:numPr>
        <w:ilvl w:val="2"/>
        <w:numId w:val="11"/>
      </w:numPr>
      <w:tabs>
        <w:tab w:val="num" w:pos="360"/>
      </w:tabs>
      <w:spacing w:before="40" w:line="259" w:lineRule="auto"/>
      <w:ind w:left="0" w:firstLine="0"/>
      <w:jc w:val="left"/>
      <w:outlineLvl w:val="2"/>
    </w:pPr>
    <w:rPr>
      <w:rFonts w:eastAsia="Times New Roman" w:cs="Times New Roman"/>
      <w:b/>
      <w:color w:val="auto"/>
      <w:szCs w:val="24"/>
      <w:lang w:val="en-US" w:eastAsia="en-US"/>
    </w:rPr>
  </w:style>
  <w:style w:type="paragraph" w:customStyle="1" w:styleId="Heading41">
    <w:name w:val="Heading 41"/>
    <w:basedOn w:val="Normal"/>
    <w:next w:val="Normal"/>
    <w:unhideWhenUsed/>
    <w:qFormat/>
    <w:rsid w:val="00CB6CDB"/>
    <w:pPr>
      <w:keepNext/>
      <w:keepLines/>
      <w:numPr>
        <w:ilvl w:val="3"/>
        <w:numId w:val="11"/>
      </w:numPr>
      <w:tabs>
        <w:tab w:val="num" w:pos="360"/>
      </w:tabs>
      <w:spacing w:before="40" w:line="259" w:lineRule="auto"/>
      <w:ind w:left="0" w:firstLine="0"/>
      <w:jc w:val="left"/>
      <w:outlineLvl w:val="3"/>
    </w:pPr>
    <w:rPr>
      <w:rFonts w:eastAsia="Times New Roman" w:cs="Times New Roman"/>
      <w:b/>
      <w:iCs/>
      <w:color w:val="auto"/>
      <w:lang w:val="en-US" w:eastAsia="en-US"/>
    </w:rPr>
  </w:style>
  <w:style w:type="paragraph" w:customStyle="1" w:styleId="Heading51">
    <w:name w:val="Heading 51"/>
    <w:basedOn w:val="Normal"/>
    <w:next w:val="Normal"/>
    <w:unhideWhenUsed/>
    <w:qFormat/>
    <w:rsid w:val="00CB6CDB"/>
    <w:pPr>
      <w:keepNext/>
      <w:keepLines/>
      <w:numPr>
        <w:ilvl w:val="4"/>
        <w:numId w:val="11"/>
      </w:numPr>
      <w:tabs>
        <w:tab w:val="num" w:pos="360"/>
      </w:tabs>
      <w:spacing w:before="40" w:line="259" w:lineRule="auto"/>
      <w:ind w:left="0" w:firstLine="0"/>
      <w:jc w:val="left"/>
      <w:outlineLvl w:val="4"/>
    </w:pPr>
    <w:rPr>
      <w:rFonts w:eastAsia="Times New Roman" w:cs="Times New Roman"/>
      <w:b/>
      <w:color w:val="auto"/>
      <w:lang w:val="en-US" w:eastAsia="en-US"/>
    </w:rPr>
  </w:style>
  <w:style w:type="paragraph" w:customStyle="1" w:styleId="Heading61">
    <w:name w:val="Heading 61"/>
    <w:basedOn w:val="Normal"/>
    <w:next w:val="Normal"/>
    <w:unhideWhenUsed/>
    <w:qFormat/>
    <w:rsid w:val="00CB6CDB"/>
    <w:pPr>
      <w:keepNext/>
      <w:keepLines/>
      <w:numPr>
        <w:ilvl w:val="5"/>
        <w:numId w:val="11"/>
      </w:numPr>
      <w:tabs>
        <w:tab w:val="num" w:pos="360"/>
      </w:tabs>
      <w:spacing w:before="40" w:line="259" w:lineRule="auto"/>
      <w:ind w:left="0" w:firstLine="0"/>
      <w:jc w:val="left"/>
      <w:outlineLvl w:val="5"/>
    </w:pPr>
    <w:rPr>
      <w:rFonts w:ascii="Calibri Light" w:eastAsia="Times New Roman" w:hAnsi="Calibri Light" w:cs="Times New Roman"/>
      <w:color w:val="1F3763"/>
      <w:lang w:val="en-US" w:eastAsia="en-US"/>
    </w:rPr>
  </w:style>
  <w:style w:type="paragraph" w:customStyle="1" w:styleId="Heading71">
    <w:name w:val="Heading 71"/>
    <w:basedOn w:val="Normal"/>
    <w:next w:val="Normal"/>
    <w:uiPriority w:val="9"/>
    <w:semiHidden/>
    <w:unhideWhenUsed/>
    <w:qFormat/>
    <w:rsid w:val="00CB6CDB"/>
    <w:pPr>
      <w:keepNext/>
      <w:keepLines/>
      <w:numPr>
        <w:ilvl w:val="6"/>
        <w:numId w:val="11"/>
      </w:numPr>
      <w:tabs>
        <w:tab w:val="num" w:pos="360"/>
      </w:tabs>
      <w:spacing w:before="40" w:line="259" w:lineRule="auto"/>
      <w:ind w:left="0" w:firstLine="0"/>
      <w:jc w:val="left"/>
      <w:outlineLvl w:val="6"/>
    </w:pPr>
    <w:rPr>
      <w:rFonts w:ascii="Calibri Light" w:eastAsia="Times New Roman" w:hAnsi="Calibri Light" w:cs="Times New Roman"/>
      <w:i/>
      <w:iCs/>
      <w:color w:val="1F3763"/>
      <w:lang w:val="en-US" w:eastAsia="en-US"/>
    </w:rPr>
  </w:style>
  <w:style w:type="paragraph" w:customStyle="1" w:styleId="Heading81">
    <w:name w:val="Heading 81"/>
    <w:basedOn w:val="Normal"/>
    <w:next w:val="Normal"/>
    <w:uiPriority w:val="9"/>
    <w:semiHidden/>
    <w:unhideWhenUsed/>
    <w:qFormat/>
    <w:rsid w:val="00CB6CDB"/>
    <w:pPr>
      <w:keepNext/>
      <w:keepLines/>
      <w:numPr>
        <w:ilvl w:val="7"/>
        <w:numId w:val="11"/>
      </w:numPr>
      <w:tabs>
        <w:tab w:val="num" w:pos="360"/>
      </w:tabs>
      <w:spacing w:before="40" w:line="259" w:lineRule="auto"/>
      <w:ind w:left="0" w:firstLine="0"/>
      <w:jc w:val="left"/>
      <w:outlineLvl w:val="7"/>
    </w:pPr>
    <w:rPr>
      <w:rFonts w:ascii="Calibri Light" w:eastAsia="Times New Roman" w:hAnsi="Calibri Light" w:cs="Times New Roman"/>
      <w:color w:val="272727"/>
      <w:sz w:val="21"/>
      <w:szCs w:val="21"/>
      <w:lang w:val="en-US" w:eastAsia="en-US"/>
    </w:rPr>
  </w:style>
  <w:style w:type="paragraph" w:customStyle="1" w:styleId="Heading91">
    <w:name w:val="Heading 91"/>
    <w:basedOn w:val="Normal"/>
    <w:next w:val="Normal"/>
    <w:uiPriority w:val="9"/>
    <w:semiHidden/>
    <w:unhideWhenUsed/>
    <w:qFormat/>
    <w:rsid w:val="00CB6CDB"/>
    <w:pPr>
      <w:keepNext/>
      <w:keepLines/>
      <w:numPr>
        <w:ilvl w:val="8"/>
        <w:numId w:val="11"/>
      </w:numPr>
      <w:tabs>
        <w:tab w:val="num" w:pos="360"/>
      </w:tabs>
      <w:spacing w:before="40" w:line="259" w:lineRule="auto"/>
      <w:ind w:left="0" w:firstLine="0"/>
      <w:jc w:val="left"/>
      <w:outlineLvl w:val="8"/>
    </w:pPr>
    <w:rPr>
      <w:rFonts w:ascii="Calibri Light" w:eastAsia="Times New Roman" w:hAnsi="Calibri Light" w:cs="Times New Roman"/>
      <w:i/>
      <w:iCs/>
      <w:color w:val="272727"/>
      <w:sz w:val="21"/>
      <w:szCs w:val="21"/>
      <w:lang w:val="en-US" w:eastAsia="en-US"/>
    </w:rPr>
  </w:style>
  <w:style w:type="table" w:customStyle="1" w:styleId="TableGrid2">
    <w:name w:val="Table Grid2"/>
    <w:basedOn w:val="TableNormal"/>
    <w:next w:val="TableGrid"/>
    <w:uiPriority w:val="39"/>
    <w:rsid w:val="00CB6CDB"/>
    <w:pPr>
      <w:spacing w:line="240" w:lineRule="auto"/>
      <w:ind w:firstLine="0"/>
      <w:jc w:val="left"/>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6C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DB"/>
    <w:rPr>
      <w:rFonts w:ascii="Tahoma" w:hAnsi="Tahoma" w:cs="Tahoma"/>
      <w:color w:val="000000"/>
      <w:sz w:val="16"/>
      <w:szCs w:val="16"/>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152135">
      <w:bodyDiv w:val="1"/>
      <w:marLeft w:val="0"/>
      <w:marRight w:val="0"/>
      <w:marTop w:val="0"/>
      <w:marBottom w:val="0"/>
      <w:divBdr>
        <w:top w:val="none" w:sz="0" w:space="0" w:color="auto"/>
        <w:left w:val="none" w:sz="0" w:space="0" w:color="auto"/>
        <w:bottom w:val="none" w:sz="0" w:space="0" w:color="auto"/>
        <w:right w:val="none" w:sz="0" w:space="0" w:color="auto"/>
      </w:divBdr>
    </w:div>
    <w:div w:id="165899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287/MNSC.2014.1984" TargetMode="External"/><Relationship Id="rId26" Type="http://schemas.openxmlformats.org/officeDocument/2006/relationships/hyperlink" Target="https://doi.org/10.47729/indicators.v3i2.93" TargetMode="External"/><Relationship Id="rId21" Type="http://schemas.openxmlformats.org/officeDocument/2006/relationships/hyperlink" Target="https://doi.org/10.1136/EB-2015-102129"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doi.org/10.1136/eb-2015-102129" TargetMode="External"/><Relationship Id="rId25" Type="http://schemas.openxmlformats.org/officeDocument/2006/relationships/hyperlink" Target="https://repository.uwc.ac.za:443/xmlui/handle/10566/232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0203519196/SURVEYS-SOCIAL-RESEARCH-DAVID-DE-VAUS-DAVID-DE-VAUS" TargetMode="External"/><Relationship Id="rId20" Type="http://schemas.openxmlformats.org/officeDocument/2006/relationships/hyperlink" Target="https://doi.org/10.1007/s10551-017-3587-2" TargetMode="External"/><Relationship Id="rId29" Type="http://schemas.openxmlformats.org/officeDocument/2006/relationships/hyperlink" Target="https://doi.org/10.22495/cocv18i1art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2307/3564152" TargetMode="External"/><Relationship Id="rId32" Type="http://schemas.openxmlformats.org/officeDocument/2006/relationships/hyperlink" Target="https://doi.org/10.21475/ajcs.22.16.0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ememar.2012.03.002" TargetMode="External"/><Relationship Id="rId23" Type="http://schemas.openxmlformats.org/officeDocument/2006/relationships/hyperlink" Target="https://doi.org/10.1017/CBO9780511817410.023" TargetMode="External"/><Relationship Id="rId28" Type="http://schemas.openxmlformats.org/officeDocument/2006/relationships/hyperlink" Target="https://doi.org/10.1080/09709274.2016.11907029" TargetMode="External"/><Relationship Id="rId36"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hyperlink" Target="https://doi.org/10.2139/ssrn.263511" TargetMode="External"/><Relationship Id="rId31" Type="http://schemas.openxmlformats.org/officeDocument/2006/relationships/hyperlink" Target="https://www.zesa.co.zw/about-zesa/"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doi.org/10.1108/CG-04-2013-0051" TargetMode="External"/><Relationship Id="rId22" Type="http://schemas.openxmlformats.org/officeDocument/2006/relationships/hyperlink" Target="https://doi.org/10.1080/21632324.2017.1285850" TargetMode="External"/><Relationship Id="rId27" Type="http://schemas.openxmlformats.org/officeDocument/2006/relationships/hyperlink" Target="https://doi.org/10.1787/9789264257443-tr" TargetMode="External"/><Relationship Id="rId30" Type="http://schemas.openxmlformats.org/officeDocument/2006/relationships/hyperlink" Target="https://doi.org/10.4324/9780429439919-3" TargetMode="External"/><Relationship Id="rId35" Type="http://schemas.openxmlformats.org/officeDocument/2006/relationships/header" Target="header2.xml"/><Relationship Id="rId8" Type="http://schemas.openxmlformats.org/officeDocument/2006/relationships/chart" Target="charts/chart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ser>
          <c:idx val="0"/>
          <c:order val="0"/>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Sheet1!$A$1:$A$2</c:f>
              <c:strCache>
                <c:ptCount val="2"/>
                <c:pt idx="0">
                  <c:v>Males</c:v>
                </c:pt>
                <c:pt idx="1">
                  <c:v>Females</c:v>
                </c:pt>
              </c:strCache>
            </c:strRef>
          </c:cat>
          <c:val>
            <c:numRef>
              <c:f>Sheet1!$B$1:$B$2</c:f>
              <c:numCache>
                <c:formatCode>General</c:formatCode>
                <c:ptCount val="2"/>
                <c:pt idx="0">
                  <c:v>59</c:v>
                </c:pt>
                <c:pt idx="1">
                  <c:v>38</c:v>
                </c:pt>
              </c:numCache>
            </c:numRef>
          </c:val>
          <c:extLst>
            <c:ext xmlns:c16="http://schemas.microsoft.com/office/drawing/2014/chart" uri="{C3380CC4-5D6E-409C-BE32-E72D297353CC}">
              <c16:uniqueId val="{00000000-F61D-4B81-99D4-E4094F508AA0}"/>
            </c:ext>
          </c:extLst>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4"/>
    </mc:Choice>
    <mc:Fallback>
      <c:style val="44"/>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Sheet2!$A$1:$A$5</c:f>
              <c:strCache>
                <c:ptCount val="5"/>
                <c:pt idx="0">
                  <c:v>Less than 1 year</c:v>
                </c:pt>
                <c:pt idx="1">
                  <c:v>1-5 years</c:v>
                </c:pt>
                <c:pt idx="2">
                  <c:v>6-10 years</c:v>
                </c:pt>
                <c:pt idx="3">
                  <c:v>11-15 years</c:v>
                </c:pt>
                <c:pt idx="4">
                  <c:v>Over 15 years</c:v>
                </c:pt>
              </c:strCache>
            </c:strRef>
          </c:cat>
          <c:val>
            <c:numRef>
              <c:f>Sheet2!$B$1:$B$5</c:f>
              <c:numCache>
                <c:formatCode>General</c:formatCode>
                <c:ptCount val="5"/>
                <c:pt idx="0">
                  <c:v>3</c:v>
                </c:pt>
                <c:pt idx="1">
                  <c:v>7</c:v>
                </c:pt>
                <c:pt idx="2">
                  <c:v>24</c:v>
                </c:pt>
                <c:pt idx="3">
                  <c:v>14</c:v>
                </c:pt>
                <c:pt idx="4">
                  <c:v>13</c:v>
                </c:pt>
              </c:numCache>
            </c:numRef>
          </c:val>
          <c:extLst>
            <c:ext xmlns:c16="http://schemas.microsoft.com/office/drawing/2014/chart" uri="{C3380CC4-5D6E-409C-BE32-E72D297353CC}">
              <c16:uniqueId val="{00000000-E4F8-4DD7-8620-838EFB2C2462}"/>
            </c:ext>
          </c:extLst>
        </c:ser>
        <c:dLbls>
          <c:showLegendKey val="0"/>
          <c:showVal val="0"/>
          <c:showCatName val="0"/>
          <c:showSerName val="0"/>
          <c:showPercent val="0"/>
          <c:showBubbleSize val="0"/>
        </c:dLbls>
        <c:gapWidth val="150"/>
        <c:shape val="box"/>
        <c:axId val="174481792"/>
        <c:axId val="174483328"/>
        <c:axId val="0"/>
      </c:bar3DChart>
      <c:catAx>
        <c:axId val="174481792"/>
        <c:scaling>
          <c:orientation val="minMax"/>
        </c:scaling>
        <c:delete val="0"/>
        <c:axPos val="b"/>
        <c:numFmt formatCode="General" sourceLinked="0"/>
        <c:majorTickMark val="none"/>
        <c:minorTickMark val="none"/>
        <c:tickLblPos val="nextTo"/>
        <c:crossAx val="174483328"/>
        <c:crosses val="autoZero"/>
        <c:auto val="1"/>
        <c:lblAlgn val="ctr"/>
        <c:lblOffset val="100"/>
        <c:noMultiLvlLbl val="0"/>
      </c:catAx>
      <c:valAx>
        <c:axId val="174483328"/>
        <c:scaling>
          <c:orientation val="minMax"/>
        </c:scaling>
        <c:delete val="0"/>
        <c:axPos val="l"/>
        <c:majorGridlines/>
        <c:numFmt formatCode="General" sourceLinked="1"/>
        <c:majorTickMark val="none"/>
        <c:minorTickMark val="none"/>
        <c:tickLblPos val="nextTo"/>
        <c:crossAx val="174481792"/>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explosion val="9"/>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512-4F60-8209-0C721CC3EAD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512-4F60-8209-0C721CC3EAD3}"/>
              </c:ext>
            </c:extLst>
          </c:dPt>
          <c:dPt>
            <c:idx val="2"/>
            <c:bubble3D val="0"/>
            <c:explosion val="11"/>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512-4F60-8209-0C721CC3EAD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512-4F60-8209-0C721CC3EA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Sheet1!$A$1:$A$4</c:f>
              <c:strCache>
                <c:ptCount val="4"/>
                <c:pt idx="0">
                  <c:v>Certificate</c:v>
                </c:pt>
                <c:pt idx="1">
                  <c:v>Diploma</c:v>
                </c:pt>
                <c:pt idx="2">
                  <c:v>Degree</c:v>
                </c:pt>
                <c:pt idx="3">
                  <c:v>Masters</c:v>
                </c:pt>
              </c:strCache>
            </c:strRef>
          </c:cat>
          <c:val>
            <c:numRef>
              <c:f>Sheet1!$B$1:$B$4</c:f>
              <c:numCache>
                <c:formatCode>0%</c:formatCode>
                <c:ptCount val="4"/>
                <c:pt idx="0">
                  <c:v>0.12</c:v>
                </c:pt>
                <c:pt idx="1">
                  <c:v>0.21</c:v>
                </c:pt>
                <c:pt idx="2">
                  <c:v>0.44</c:v>
                </c:pt>
                <c:pt idx="3">
                  <c:v>0.23</c:v>
                </c:pt>
              </c:numCache>
            </c:numRef>
          </c:val>
          <c:extLst>
            <c:ext xmlns:c16="http://schemas.microsoft.com/office/drawing/2014/chart" uri="{C3380CC4-5D6E-409C-BE32-E72D297353CC}">
              <c16:uniqueId val="{00000008-E512-4F60-8209-0C721CC3EAD3}"/>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stacked"/>
        <c:varyColors val="0"/>
        <c:ser>
          <c:idx val="0"/>
          <c:order val="0"/>
          <c:tx>
            <c:strRef>
              <c:f>Sheet1!$C$1</c:f>
              <c:strCache>
                <c:ptCount val="1"/>
                <c:pt idx="0">
                  <c:v>Never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Sheet1!$B$2:$B$9</c:f>
              <c:strCache>
                <c:ptCount val="8"/>
                <c:pt idx="0">
                  <c:v>Does the board appoint the CEO and approves senior management appointments? </c:v>
                </c:pt>
                <c:pt idx="1">
                  <c:v>Does the board approve the organisation’s strategic plan?</c:v>
                </c:pt>
                <c:pt idx="2">
                  <c:v>Does the board appoint external auditors?</c:v>
                </c:pt>
                <c:pt idx="3">
                  <c:v>Are the responsibilities of the board clearly documented?</c:v>
                </c:pt>
                <c:pt idx="4">
                  <c:v>Does the board have independent access to senior management staff?</c:v>
                </c:pt>
                <c:pt idx="5">
                  <c:v>Does the board meet a minimum of four times a year?</c:v>
                </c:pt>
                <c:pt idx="6">
                  <c:v>Does the organisation have an induction and orientation program for the new board</c:v>
                </c:pt>
                <c:pt idx="7">
                  <c:v>In your opinion, does the board provide balanced and understandable assessment of the organisations’ performance? </c:v>
                </c:pt>
              </c:strCache>
            </c:strRef>
          </c:cat>
          <c:val>
            <c:numRef>
              <c:f>Sheet1!$C$2:$C$9</c:f>
              <c:numCache>
                <c:formatCode>0%</c:formatCode>
                <c:ptCount val="8"/>
                <c:pt idx="0">
                  <c:v>0</c:v>
                </c:pt>
                <c:pt idx="1">
                  <c:v>0.06</c:v>
                </c:pt>
                <c:pt idx="2">
                  <c:v>0</c:v>
                </c:pt>
                <c:pt idx="3">
                  <c:v>0.12</c:v>
                </c:pt>
                <c:pt idx="4">
                  <c:v>0.34</c:v>
                </c:pt>
                <c:pt idx="5">
                  <c:v>0</c:v>
                </c:pt>
                <c:pt idx="6">
                  <c:v>0.04</c:v>
                </c:pt>
                <c:pt idx="7">
                  <c:v>0.26</c:v>
                </c:pt>
              </c:numCache>
            </c:numRef>
          </c:val>
          <c:extLst>
            <c:ext xmlns:c16="http://schemas.microsoft.com/office/drawing/2014/chart" uri="{C3380CC4-5D6E-409C-BE32-E72D297353CC}">
              <c16:uniqueId val="{00000000-53E5-4976-BBAD-4C236F5BC794}"/>
            </c:ext>
          </c:extLst>
        </c:ser>
        <c:ser>
          <c:idx val="1"/>
          <c:order val="1"/>
          <c:tx>
            <c:strRef>
              <c:f>Sheet1!$D$1</c:f>
              <c:strCache>
                <c:ptCount val="1"/>
                <c:pt idx="0">
                  <c:v>Sometimes</c:v>
                </c:pt>
              </c:strCache>
            </c:strRef>
          </c:tx>
          <c:spPr>
            <a:solidFill>
              <a:srgbClr val="C0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Sheet1!$B$2:$B$9</c:f>
              <c:strCache>
                <c:ptCount val="8"/>
                <c:pt idx="0">
                  <c:v>Does the board appoint the CEO and approves senior management appointments? </c:v>
                </c:pt>
                <c:pt idx="1">
                  <c:v>Does the board approve the organisation’s strategic plan?</c:v>
                </c:pt>
                <c:pt idx="2">
                  <c:v>Does the board appoint external auditors?</c:v>
                </c:pt>
                <c:pt idx="3">
                  <c:v>Are the responsibilities of the board clearly documented?</c:v>
                </c:pt>
                <c:pt idx="4">
                  <c:v>Does the board have independent access to senior management staff?</c:v>
                </c:pt>
                <c:pt idx="5">
                  <c:v>Does the board meet a minimum of four times a year?</c:v>
                </c:pt>
                <c:pt idx="6">
                  <c:v>Does the organisation have an induction and orientation program for the new board</c:v>
                </c:pt>
                <c:pt idx="7">
                  <c:v>In your opinion, does the board provide balanced and understandable assessment of the organisations’ performance? </c:v>
                </c:pt>
              </c:strCache>
            </c:strRef>
          </c:cat>
          <c:val>
            <c:numRef>
              <c:f>Sheet1!$D$2:$D$9</c:f>
              <c:numCache>
                <c:formatCode>0%</c:formatCode>
                <c:ptCount val="8"/>
                <c:pt idx="0">
                  <c:v>0.12</c:v>
                </c:pt>
                <c:pt idx="1">
                  <c:v>0.18</c:v>
                </c:pt>
                <c:pt idx="2">
                  <c:v>0.16</c:v>
                </c:pt>
                <c:pt idx="3">
                  <c:v>0.21</c:v>
                </c:pt>
                <c:pt idx="4">
                  <c:v>0.27</c:v>
                </c:pt>
                <c:pt idx="5">
                  <c:v>0</c:v>
                </c:pt>
                <c:pt idx="6">
                  <c:v>0.25</c:v>
                </c:pt>
                <c:pt idx="7">
                  <c:v>0.38</c:v>
                </c:pt>
              </c:numCache>
            </c:numRef>
          </c:val>
          <c:extLst>
            <c:ext xmlns:c16="http://schemas.microsoft.com/office/drawing/2014/chart" uri="{C3380CC4-5D6E-409C-BE32-E72D297353CC}">
              <c16:uniqueId val="{00000001-53E5-4976-BBAD-4C236F5BC794}"/>
            </c:ext>
          </c:extLst>
        </c:ser>
        <c:ser>
          <c:idx val="2"/>
          <c:order val="2"/>
          <c:tx>
            <c:strRef>
              <c:f>Sheet1!$E$1</c:f>
              <c:strCache>
                <c:ptCount val="1"/>
                <c:pt idx="0">
                  <c:v>Always</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Sheet1!$B$2:$B$9</c:f>
              <c:strCache>
                <c:ptCount val="8"/>
                <c:pt idx="0">
                  <c:v>Does the board appoint the CEO and approves senior management appointments? </c:v>
                </c:pt>
                <c:pt idx="1">
                  <c:v>Does the board approve the organisation’s strategic plan?</c:v>
                </c:pt>
                <c:pt idx="2">
                  <c:v>Does the board appoint external auditors?</c:v>
                </c:pt>
                <c:pt idx="3">
                  <c:v>Are the responsibilities of the board clearly documented?</c:v>
                </c:pt>
                <c:pt idx="4">
                  <c:v>Does the board have independent access to senior management staff?</c:v>
                </c:pt>
                <c:pt idx="5">
                  <c:v>Does the board meet a minimum of four times a year?</c:v>
                </c:pt>
                <c:pt idx="6">
                  <c:v>Does the organisation have an induction and orientation program for the new board</c:v>
                </c:pt>
                <c:pt idx="7">
                  <c:v>In your opinion, does the board provide balanced and understandable assessment of the organisations’ performance? </c:v>
                </c:pt>
              </c:strCache>
            </c:strRef>
          </c:cat>
          <c:val>
            <c:numRef>
              <c:f>Sheet1!$E$2:$E$9</c:f>
              <c:numCache>
                <c:formatCode>0%</c:formatCode>
                <c:ptCount val="8"/>
                <c:pt idx="0">
                  <c:v>0.88</c:v>
                </c:pt>
                <c:pt idx="1">
                  <c:v>0.76</c:v>
                </c:pt>
                <c:pt idx="2">
                  <c:v>0.84</c:v>
                </c:pt>
                <c:pt idx="3">
                  <c:v>0.67</c:v>
                </c:pt>
                <c:pt idx="4">
                  <c:v>0.39</c:v>
                </c:pt>
                <c:pt idx="5">
                  <c:v>1</c:v>
                </c:pt>
                <c:pt idx="6">
                  <c:v>0.71</c:v>
                </c:pt>
                <c:pt idx="7">
                  <c:v>0.36</c:v>
                </c:pt>
              </c:numCache>
            </c:numRef>
          </c:val>
          <c:extLst>
            <c:ext xmlns:c16="http://schemas.microsoft.com/office/drawing/2014/chart" uri="{C3380CC4-5D6E-409C-BE32-E72D297353CC}">
              <c16:uniqueId val="{00000002-53E5-4976-BBAD-4C236F5BC794}"/>
            </c:ext>
          </c:extLst>
        </c:ser>
        <c:dLbls>
          <c:showLegendKey val="0"/>
          <c:showVal val="1"/>
          <c:showCatName val="0"/>
          <c:showSerName val="0"/>
          <c:showPercent val="0"/>
          <c:showBubbleSize val="0"/>
        </c:dLbls>
        <c:gapWidth val="36"/>
        <c:overlap val="92"/>
        <c:axId val="165402496"/>
        <c:axId val="165404032"/>
      </c:barChart>
      <c:catAx>
        <c:axId val="165402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4032"/>
        <c:crosses val="autoZero"/>
        <c:auto val="1"/>
        <c:lblAlgn val="ctr"/>
        <c:lblOffset val="100"/>
        <c:noMultiLvlLbl val="0"/>
      </c:catAx>
      <c:valAx>
        <c:axId val="165404032"/>
        <c:scaling>
          <c:orientation val="minMax"/>
        </c:scaling>
        <c:delete val="1"/>
        <c:axPos val="b"/>
        <c:numFmt formatCode="0%" sourceLinked="1"/>
        <c:majorTickMark val="none"/>
        <c:minorTickMark val="none"/>
        <c:tickLblPos val="nextTo"/>
        <c:crossAx val="16540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42EE9-4AE3-4891-B0F4-53754A21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31</Pages>
  <Words>15725</Words>
  <Characters>95137</Characters>
  <Application>Microsoft Office Word</Application>
  <DocSecurity>0</DocSecurity>
  <Lines>1865</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Alma FinAdmin</cp:lastModifiedBy>
  <cp:revision>26</cp:revision>
  <cp:lastPrinted>2024-12-20T09:27:00Z</cp:lastPrinted>
  <dcterms:created xsi:type="dcterms:W3CDTF">2024-07-02T11:29:00Z</dcterms:created>
  <dcterms:modified xsi:type="dcterms:W3CDTF">2025-02-13T06:14:00Z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http://www.zotero.org/styles/apa-6th-edition</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c3fb3da4-8af0-3cde-8706-9a5ad243f978</vt:lpwstr>
  </property>
  <property fmtid="{D5CDD505-2E9C-101B-9397-08002B2CF9AE}" pid="24" name="Mendeley Citation Style_1">
    <vt:lpwstr>http://www.zotero.org/styles/apa</vt:lpwstr>
  </property>
  <property fmtid="{D5CDD505-2E9C-101B-9397-08002B2CF9AE}" pid="25" name="GrammarlyDocumentId">
    <vt:lpwstr>d421484e7f37723037c8a010c8571b7390c956804700b82c9ab09e0ed34f4c42</vt:lpwstr>
  </property>
</Properties>
</file>