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Pr="00A27256" w:rsidRDefault="0013624C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27256">
        <w:rPr>
          <w:rStyle w:val="Style2"/>
        </w:rPr>
        <w:lastRenderedPageBreak/>
        <w:t>У</w:t>
      </w:r>
      <w:r w:rsidR="00584024" w:rsidRPr="00A27256">
        <w:rPr>
          <w:rStyle w:val="Style2"/>
        </w:rPr>
        <w:t>ВОД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A27256" w:rsidRPr="006C4870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256" w:rsidRPr="00AC7A72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Pr="00CA0A5C" w:rsidRDefault="00087EA6" w:rsidP="008C244A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 w:rsidRPr="00A27256">
        <w:rPr>
          <w:rStyle w:val="Style2"/>
        </w:rPr>
        <w:t xml:space="preserve"> </w:t>
      </w:r>
      <w:r w:rsidRPr="00CA0A5C">
        <w:rPr>
          <w:rStyle w:val="Style2"/>
        </w:rPr>
        <w:t>Обзор на използваните технологии</w:t>
      </w:r>
    </w:p>
    <w:p w:rsidR="005B5DD4" w:rsidRPr="00CA0A5C" w:rsidRDefault="00381E3F" w:rsidP="005B5DD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ASP.NET </w:t>
      </w:r>
      <w:r w:rsidR="005B5DD4" w:rsidRPr="00CA0A5C">
        <w:rPr>
          <w:rStyle w:val="Style2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CA0A5C" w:rsidRDefault="00300C54" w:rsidP="00300C5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SignalR</w:t>
      </w:r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00C54"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за да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r>
        <w:rPr>
          <w:rFonts w:ascii="Times New Roman" w:hAnsi="Times New Roman" w:cs="Times New Roman"/>
          <w:sz w:val="28"/>
          <w:lang w:val="en-US"/>
        </w:rPr>
        <w:t>SignalR.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SignalR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SignalR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CA0A5C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E71273" w:rsidRPr="00700F7E" w:rsidRDefault="00CA0A5C" w:rsidP="00CA0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C244A" w:rsidRPr="00CA0A5C" w:rsidRDefault="00087EA6" w:rsidP="0058402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Blazor</w:t>
      </w:r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 w:rsidRPr="00087EA6">
        <w:rPr>
          <w:rFonts w:ascii="Times New Roman" w:hAnsi="Times New Roman" w:cs="Times New Roman"/>
          <w:sz w:val="28"/>
          <w:lang w:val="en-US"/>
        </w:rPr>
        <w:t xml:space="preserve">Blazor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за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</w:t>
      </w:r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CA0A5C" w:rsidRDefault="00E21210" w:rsidP="00E21210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Razor Components</w:t>
      </w:r>
      <w:r w:rsidR="00BD1C39" w:rsidRPr="00CA0A5C">
        <w:rPr>
          <w:rStyle w:val="Style2"/>
        </w:rPr>
        <w:t xml:space="preserve"> 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като страница, изскачащо прозорче или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CA0A5C" w:rsidRDefault="00261F5E" w:rsidP="00BD1C39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CA0A5C" w:rsidRDefault="004356BE" w:rsidP="004356BE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Server App</w:t>
      </w:r>
      <w:r w:rsidR="00A45BDB" w:rsidRPr="00CA0A5C">
        <w:rPr>
          <w:rStyle w:val="Style2"/>
        </w:rPr>
        <w:t xml:space="preserve"> 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приложение.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wwwroot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r w:rsidR="008E10F8">
        <w:rPr>
          <w:rFonts w:ascii="Times New Roman" w:hAnsi="Times New Roman" w:cs="Times New Roman"/>
          <w:sz w:val="28"/>
          <w:lang w:val="en-US"/>
        </w:rPr>
        <w:t xml:space="preserve">css, js,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r>
        <w:rPr>
          <w:rFonts w:ascii="Times New Roman" w:hAnsi="Times New Roman" w:cs="Times New Roman"/>
          <w:sz w:val="28"/>
          <w:lang w:val="en-US"/>
        </w:rPr>
        <w:t xml:space="preserve">Startup.cs.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 xml:space="preserve">_Host.cshtml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r w:rsidR="00FF04BA">
        <w:rPr>
          <w:rFonts w:ascii="Times New Roman" w:hAnsi="Times New Roman" w:cs="Times New Roman"/>
          <w:sz w:val="28"/>
          <w:lang w:val="en-US"/>
        </w:rPr>
        <w:t xml:space="preserve">css </w:t>
      </w:r>
      <w:r w:rsidR="00FF04BA">
        <w:rPr>
          <w:rFonts w:ascii="Times New Roman" w:hAnsi="Times New Roman" w:cs="Times New Roman"/>
          <w:sz w:val="28"/>
        </w:rPr>
        <w:t xml:space="preserve">и </w:t>
      </w:r>
      <w:r w:rsidR="00FF04BA">
        <w:rPr>
          <w:rFonts w:ascii="Times New Roman" w:hAnsi="Times New Roman" w:cs="Times New Roman"/>
          <w:sz w:val="28"/>
          <w:lang w:val="en-US"/>
        </w:rPr>
        <w:t xml:space="preserve">js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r>
        <w:rPr>
          <w:rFonts w:ascii="Times New Roman" w:hAnsi="Times New Roman" w:cs="Times New Roman"/>
          <w:sz w:val="28"/>
          <w:lang w:val="en-US"/>
        </w:rPr>
        <w:t xml:space="preserve">NavMenu.razor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MainLayout.razor.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NavMenu.razor</w:t>
      </w:r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r>
        <w:rPr>
          <w:rFonts w:ascii="Times New Roman" w:hAnsi="Times New Roman" w:cs="Times New Roman"/>
          <w:sz w:val="28"/>
          <w:lang w:val="en-US"/>
        </w:rPr>
        <w:t>MainLayout.razor</w:t>
      </w:r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Startup.cs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Program.cs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2E2186" w:rsidP="004768A5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WebAssembly</w:t>
      </w:r>
      <w:r w:rsidR="008E10F8" w:rsidRPr="00CA0A5C">
        <w:rPr>
          <w:rStyle w:val="Style2"/>
        </w:rPr>
        <w:t xml:space="preserve"> (Wasm)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Wasm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r>
        <w:rPr>
          <w:rFonts w:ascii="Times New Roman" w:hAnsi="Times New Roman" w:cs="Times New Roman"/>
          <w:sz w:val="28"/>
          <w:lang w:val="en-US"/>
        </w:rPr>
        <w:t xml:space="preserve">Wasm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Wasm </w:t>
      </w:r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Wasm runtime </w:t>
      </w:r>
      <w:r w:rsidRPr="00826144">
        <w:rPr>
          <w:rFonts w:ascii="Times New Roman" w:hAnsi="Times New Roman" w:cs="Times New Roman"/>
          <w:sz w:val="28"/>
          <w:lang w:val="en-US"/>
        </w:rPr>
        <w:t>използва JS interop за манипулация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браузъра</w:t>
      </w:r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Wasm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Wasm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софтуер за разработка на приложения, който дава възможност на разработчиците да разработват приложения за iOS, Android и Web. Firebase предоставя инструменти за проследяване на аналитиката, отчитане и коригиране на сривове на приложения, създаване на маркетинг и експеримент с продукти.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E522F" w:rsidRDefault="00AE522F" w:rsidP="00AE522F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3416D">
        <w:rPr>
          <w:rFonts w:ascii="Times New Roman" w:hAnsi="Times New Roman" w:cs="Times New Roman"/>
          <w:sz w:val="28"/>
          <w:lang w:val="en-US"/>
        </w:rPr>
        <w:t>улеснява разработчиците при изграждането на защитени системи за authentication и подобрява практиката на влизане и вграждане за потребителите. Тази функция предлага цялостно решение за идентичност, поддържащо имейл акаунти и акаунти за парола, оторизиране на телефона, както и Google, Facebook, GitHub, вход в Twitter и други.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A3416D" w:rsidRPr="00AE522F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  <w:lang w:val="en-US"/>
        </w:rPr>
        <w:t>Crashlytics е real-time crash reporter, който помага на разработчиците да проследяват, дават приоритет и да коригират проблеми със стабилността, които намаляват качеството на техните приложения. С Crashlytics разработчиците отделят по-малко време за организиране и отстраняване на неизправности и повече функции за изграждане на време за своите приложения.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565D0E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</w:t>
      </w:r>
      <w:r w:rsidR="000226DA" w:rsidRPr="000226DA">
        <w:rPr>
          <w:rFonts w:ascii="Times New Roman" w:hAnsi="Times New Roman" w:cs="Times New Roman"/>
          <w:sz w:val="28"/>
        </w:rPr>
        <w:lastRenderedPageBreak/>
        <w:t xml:space="preserve">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база данни за разработка на мобилни устройства, уеб и сървър от Firebase и Google Cloud Platform. Подобно на Firebase Realt</w:t>
      </w:r>
      <w:r w:rsidR="00565D0E">
        <w:rPr>
          <w:rFonts w:ascii="Times New Roman" w:hAnsi="Times New Roman" w:cs="Times New Roman"/>
          <w:sz w:val="28"/>
          <w:lang w:val="en-US"/>
        </w:rPr>
        <w:t>ime Database, тя поддържа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данни</w:t>
      </w:r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между клиентските приложения чрез </w:t>
      </w:r>
      <w:r w:rsidR="00565D0E">
        <w:rPr>
          <w:rFonts w:ascii="Times New Roman" w:hAnsi="Times New Roman" w:cs="Times New Roman"/>
          <w:sz w:val="28"/>
          <w:lang w:val="en-US"/>
        </w:rPr>
        <w:t>realtime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предлага офлайн поддръжк</w:t>
      </w:r>
      <w:r w:rsidR="009030A1">
        <w:rPr>
          <w:rFonts w:ascii="Times New Roman" w:hAnsi="Times New Roman" w:cs="Times New Roman"/>
          <w:sz w:val="28"/>
          <w:lang w:val="en-US"/>
        </w:rPr>
        <w:t>а за мобилни и уеб, за да може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изграждат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отзивчиви приложения, които работят независимо от латентността на мрежата или интернет връзката. Cloud Firestore също предлага безпроблемна интеграция с други продукти на Firebase и Google Cloud Platform, включително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Google Cloud </w:t>
      </w:r>
      <w:r w:rsidR="005E3C11" w:rsidRPr="00CA0A5C">
        <w:rPr>
          <w:rStyle w:val="Style2"/>
        </w:rPr>
        <w:t>Platform</w:t>
      </w:r>
      <w:r w:rsidRPr="00CA0A5C">
        <w:rPr>
          <w:rStyle w:val="Style2"/>
        </w:rPr>
        <w:t xml:space="preserve"> (GCP)</w:t>
      </w: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Cloud Computing 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  <w:lang w:val="en-US"/>
        </w:rPr>
        <w:t>редлага услуги като съхранение, база данни, работа в мрежа и повече през Интернет, за да предостави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бързи, иновативни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>lexible resources на своите клиенти. Клиентите плащат само за ресурсите, които използват, като по този начин им помага да намалят оперативните си разходи и да управляват бизнес инфраструктурата си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>ефективно.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набор от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>, предлагани от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 xml:space="preserve">редлага функция за автоматично мащабиране, т.е. с увеличаването на броя на заявките за приложение, App Engine автоматично </w:t>
      </w:r>
      <w:r w:rsidRPr="005E3C11">
        <w:rPr>
          <w:rFonts w:ascii="Times New Roman" w:hAnsi="Times New Roman" w:cs="Times New Roman"/>
          <w:sz w:val="28"/>
        </w:rPr>
        <w:lastRenderedPageBreak/>
        <w:t>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>като услуга за стартиране на виртуални машини на Microsoft 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822D2E" w:rsidRDefault="00091835" w:rsidP="00091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822D2E" w:rsidRDefault="00822D2E" w:rsidP="00091835">
      <w:pPr>
        <w:jc w:val="both"/>
        <w:rPr>
          <w:rStyle w:val="Style2"/>
          <w:b w:val="0"/>
          <w:lang w:val="bg-BG"/>
        </w:rPr>
      </w:pPr>
      <w:r>
        <w:rPr>
          <w:rStyle w:val="Style2"/>
          <w:lang w:val="bg-BG"/>
        </w:rPr>
        <w:t xml:space="preserve"> </w:t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CA0A5C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Аргументация за използваните технологии</w:t>
      </w:r>
    </w:p>
    <w:p w:rsidR="00091835" w:rsidRPr="00CA0A5C" w:rsidRDefault="00091835" w:rsidP="0009183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</w:t>
      </w:r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667ECD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За разлика от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Blazor</w:t>
      </w:r>
      <w:r w:rsidR="008E0244">
        <w:rPr>
          <w:rFonts w:ascii="Times New Roman" w:hAnsi="Times New Roman" w:cs="Times New Roman"/>
          <w:sz w:val="28"/>
          <w:lang w:val="en-US"/>
        </w:rPr>
        <w:t xml:space="preserve"> (Wasm)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който се предлага с непълни възможности за отстраняване на грешки,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Blazor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по абсолютно същия начин като всяко друго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По същия начин, всички други стандартни инструменти, които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всякакви други видове .NET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приложения, могат да се използват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>Blazor.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 xml:space="preserve">(Wasm). </w:t>
      </w:r>
      <w:r w:rsidR="000619A5">
        <w:rPr>
          <w:rFonts w:ascii="Times New Roman" w:hAnsi="Times New Roman" w:cs="Times New Roman"/>
          <w:sz w:val="28"/>
        </w:rPr>
        <w:t>В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ъпреки че Blazor от страна на сървъра може да не е най-добрият избор за определени сценарии, когато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Blazor е полезен, все още първоначално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Blazor, за да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преодолеят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ограничените възможности за отстраняване на грешки на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>Blazor.</w:t>
      </w:r>
      <w:r w:rsidR="00CC5243" w:rsidRPr="00CC5243"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След като приложението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готово за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>в проект</w:t>
      </w:r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Blazor.</w:t>
      </w:r>
      <w:r w:rsidR="00AB287F">
        <w:t xml:space="preserve"> С</w:t>
      </w:r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позволява да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>class libraries, ко</w:t>
      </w:r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ще работят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>client-side Blazor</w:t>
      </w:r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Когато става дума за изтегляне на клиентски компоненти на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D23083">
        <w:rPr>
          <w:rFonts w:ascii="Times New Roman" w:hAnsi="Times New Roman" w:cs="Times New Roman"/>
          <w:sz w:val="28"/>
          <w:lang w:val="en-US"/>
        </w:rPr>
        <w:t>Blazor, те ще включват само сравнително малко количество HTML и JavaScript, нито един от които н</w:t>
      </w:r>
      <w:r w:rsidR="00C961BB">
        <w:rPr>
          <w:rFonts w:ascii="Times New Roman" w:hAnsi="Times New Roman" w:cs="Times New Roman"/>
          <w:sz w:val="28"/>
          <w:lang w:val="en-US"/>
        </w:rPr>
        <w:t>е е задължително да бъде написа</w:t>
      </w:r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Blazor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Клиентът получава само стандартни HTML и JavaScript, които работят практически навсякъде. Следователно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съвместим с почти всеки </w:t>
      </w:r>
      <w:r>
        <w:rPr>
          <w:rFonts w:ascii="Times New Roman" w:hAnsi="Times New Roman" w:cs="Times New Roman"/>
          <w:sz w:val="28"/>
          <w:lang w:val="en-US"/>
        </w:rPr>
        <w:t>браузър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CA0A5C" w:rsidRDefault="00667ECD" w:rsidP="00667ECD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r w:rsidRPr="00667ECD">
        <w:rPr>
          <w:rFonts w:ascii="Times New Roman" w:hAnsi="Times New Roman" w:cs="Times New Roman"/>
          <w:sz w:val="28"/>
          <w:lang w:val="en-US"/>
        </w:rPr>
        <w:t>Blazor</w:t>
      </w:r>
      <w:r>
        <w:rPr>
          <w:rFonts w:ascii="Times New Roman" w:hAnsi="Times New Roman" w:cs="Times New Roman"/>
          <w:sz w:val="28"/>
          <w:lang w:val="en-US"/>
        </w:rPr>
        <w:t xml:space="preserve"> WebAssembly(Wasm)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Web API се симулира Wasm.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Pr="00CA0A5C" w:rsidRDefault="00667ECD" w:rsidP="00C644A0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>Firebase е добър избор, защото като продукт на Google често подлежи на обновяване и коригиране на проблеми, за някои услуги може да се ползва безплатно, като цяло работи доста прилично и просто, заради това много типове проекти са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Pr="00CA0A5C" w:rsidRDefault="00933911" w:rsidP="00F608C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Cloud </w:t>
      </w:r>
      <w:r w:rsidR="00C644A0" w:rsidRPr="00CA0A5C">
        <w:rPr>
          <w:rStyle w:val="Style2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Pr="00AE522F" w:rsidRDefault="00C644A0" w:rsidP="00D344FB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CA0A5C" w:rsidRDefault="00550934" w:rsidP="0055093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A0A5C">
        <w:rPr>
          <w:rStyle w:val="Style2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>GCP – Spotify, HSBC, Home Depot, Snapchat, HTC, Best Buy, Philips, Coca Cola, Domino’s, Feedly, ShareThis, Sony Music, and Ubisoft</w:t>
      </w:r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BB3050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2161608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2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A003D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>IT enterprises, които искат да намалят разходите си.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Нито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>Azure, нито по-малки доставчици като Digital Ocean предлагат тази функционалност.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CA0A5C" w:rsidRDefault="007C1C23" w:rsidP="00276097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>Google Cloud Storage е проектиран за дълготрайност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има 4 различни типа съхранение: Coldline, </w:t>
      </w:r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, регионално и </w:t>
      </w:r>
      <w:r w:rsidR="00DC45FF">
        <w:rPr>
          <w:rFonts w:ascii="Times New Roman" w:hAnsi="Times New Roman" w:cs="Times New Roman"/>
          <w:sz w:val="28"/>
          <w:lang w:val="en-US"/>
        </w:rPr>
        <w:t>многорегионално съхранение.</w:t>
      </w:r>
      <w:r w:rsidR="00DC45FF">
        <w:rPr>
          <w:rFonts w:ascii="Times New Roman" w:hAnsi="Times New Roman" w:cs="Times New Roman"/>
          <w:sz w:val="28"/>
        </w:rPr>
        <w:t xml:space="preserve"> С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ъхранява данните излишно, с автоматични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за да</w:t>
      </w:r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гарантира целостта на данните. Красотата на мултирегионалното съхранение е, че той е и излишен в географски условия, което означава облачно съхранение съхранява данни</w:t>
      </w:r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излишно в поне два региона в рамките на мултирегионалното местоположение на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Тъй като се отнася до хостинг на Google Cloud, това гарантира, че никога няма да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загуба на данни</w:t>
      </w:r>
      <w:r w:rsidRPr="00276097">
        <w:rPr>
          <w:rFonts w:ascii="Times New Roman" w:hAnsi="Times New Roman" w:cs="Times New Roman"/>
          <w:sz w:val="28"/>
          <w:lang w:val="en-US"/>
        </w:rPr>
        <w:t>, дори в случай на бедствие.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CA0A5C" w:rsidRDefault="00374513" w:rsidP="0037451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ERPForServiceActivity.API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ERPForServiceActivity.CommonModels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ERPForServiceActivity.DataFromImage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ERPForServiceActivity.Security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ERPForServiceActivity.Tests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AE522F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ERPForServiceActivity.API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5934E5">
      <w:pPr>
        <w:pStyle w:val="Style1"/>
        <w:numPr>
          <w:ilvl w:val="4"/>
          <w:numId w:val="27"/>
        </w:numPr>
      </w:pPr>
      <w:r>
        <w:rPr>
          <w:noProof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appsettings.json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Program.cs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Startup.cs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CA0A5C">
        <w:rPr>
          <w:rStyle w:val="Style2"/>
        </w:rPr>
        <w:t>ERPForServiceActivity.App</w:t>
      </w:r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Pr="00CA0A5C" w:rsidRDefault="00395A68" w:rsidP="00924C1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 xml:space="preserve">ERPForServiceActivity.Common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r>
        <w:rPr>
          <w:rFonts w:ascii="Times New Roman" w:hAnsi="Times New Roman" w:cs="Times New Roman"/>
          <w:sz w:val="28"/>
          <w:lang w:val="en-US"/>
        </w:rPr>
        <w:t xml:space="preserve">BrandsInfo.cs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CA0A5C" w:rsidRDefault="00DA3620" w:rsidP="00DA3620">
      <w:pPr>
        <w:pStyle w:val="ListParagraph"/>
        <w:numPr>
          <w:ilvl w:val="2"/>
          <w:numId w:val="5"/>
        </w:numPr>
        <w:jc w:val="both"/>
        <w:rPr>
          <w:rStyle w:val="Style2"/>
          <w:lang w:val="bg-BG"/>
        </w:rPr>
      </w:pPr>
      <w:r w:rsidRPr="00CA0A5C">
        <w:rPr>
          <w:rStyle w:val="Style2"/>
        </w:rPr>
        <w:t>ERPForServiceActivity.CommonModels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2.8.</w:t>
      </w:r>
    </w:p>
    <w:p w:rsidR="001A71C3" w:rsidRDefault="001A71C3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35580" cy="197474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2.8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Pr="001A71C3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модели, които са свързани с попълването на форми, промяна на данни и </w:t>
      </w:r>
      <w:r w:rsidR="001A71C3">
        <w:rPr>
          <w:rFonts w:ascii="Times New Roman" w:hAnsi="Times New Roman" w:cs="Times New Roman"/>
          <w:sz w:val="28"/>
        </w:rPr>
        <w:t xml:space="preserve">визуализиране на данни. Разделен е на две части – </w:t>
      </w:r>
      <w:r w:rsidR="001A71C3">
        <w:rPr>
          <w:rFonts w:ascii="Times New Roman" w:hAnsi="Times New Roman" w:cs="Times New Roman"/>
          <w:sz w:val="28"/>
          <w:lang w:val="en-US"/>
        </w:rPr>
        <w:t xml:space="preserve">binding models </w:t>
      </w:r>
      <w:r w:rsidR="001A71C3">
        <w:rPr>
          <w:rFonts w:ascii="Times New Roman" w:hAnsi="Times New Roman" w:cs="Times New Roman"/>
          <w:sz w:val="28"/>
        </w:rPr>
        <w:t xml:space="preserve">и </w:t>
      </w:r>
      <w:r w:rsidR="001A71C3">
        <w:rPr>
          <w:rFonts w:ascii="Times New Roman" w:hAnsi="Times New Roman" w:cs="Times New Roman"/>
          <w:sz w:val="28"/>
          <w:lang w:val="en-US"/>
        </w:rPr>
        <w:t xml:space="preserve">view models. </w:t>
      </w:r>
      <w:r w:rsidR="001A71C3">
        <w:rPr>
          <w:rFonts w:ascii="Times New Roman" w:hAnsi="Times New Roman" w:cs="Times New Roman"/>
          <w:sz w:val="28"/>
        </w:rPr>
        <w:t xml:space="preserve">В </w:t>
      </w:r>
      <w:r w:rsidR="001A71C3">
        <w:rPr>
          <w:rFonts w:ascii="Times New Roman" w:hAnsi="Times New Roman" w:cs="Times New Roman"/>
          <w:sz w:val="28"/>
          <w:lang w:val="en-US"/>
        </w:rPr>
        <w:t>binding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добавят или променят данни. Във </w:t>
      </w:r>
      <w:r w:rsidR="001A71C3">
        <w:rPr>
          <w:rFonts w:ascii="Times New Roman" w:hAnsi="Times New Roman" w:cs="Times New Roman"/>
          <w:sz w:val="28"/>
          <w:lang w:val="en-US"/>
        </w:rPr>
        <w:t>view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използват за визуализиране на данни.</w:t>
      </w:r>
    </w:p>
    <w:p w:rsidR="00A3392A" w:rsidRPr="00A3392A" w:rsidRDefault="00A3392A" w:rsidP="00A3392A">
      <w:pPr>
        <w:jc w:val="both"/>
        <w:rPr>
          <w:rFonts w:ascii="Times New Roman" w:hAnsi="Times New Roman" w:cs="Times New Roman"/>
          <w:sz w:val="28"/>
        </w:rPr>
      </w:pPr>
    </w:p>
    <w:p w:rsidR="001A71C3" w:rsidRPr="00CA0A5C" w:rsidRDefault="00DA3620" w:rsidP="001A71C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ERPForServiceActivity.Services</w:t>
      </w:r>
    </w:p>
    <w:p w:rsidR="001A71C3" w:rsidRDefault="001A71C3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класове съдържащи бизнес логиката на приложението. В папката </w:t>
      </w:r>
      <w:r>
        <w:rPr>
          <w:rFonts w:ascii="Times New Roman" w:hAnsi="Times New Roman" w:cs="Times New Roman"/>
          <w:sz w:val="28"/>
          <w:lang w:val="en-US"/>
        </w:rPr>
        <w:t xml:space="preserve">Interfaces </w:t>
      </w:r>
      <w:r>
        <w:rPr>
          <w:rFonts w:ascii="Times New Roman" w:hAnsi="Times New Roman" w:cs="Times New Roman"/>
          <w:sz w:val="28"/>
        </w:rPr>
        <w:t>се съдържат всички интерфейси, които са имплементирани от съответните класове. За да може да се изплолзват сървисите или класовете, всеки от тях имплементиращ съответен интерфейс, трябва да са добавени в главния модул на приложението</w:t>
      </w:r>
      <w:r w:rsidR="00C262A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262A6">
        <w:rPr>
          <w:rFonts w:ascii="Times New Roman" w:hAnsi="Times New Roman" w:cs="Times New Roman"/>
          <w:sz w:val="28"/>
        </w:rPr>
        <w:t>Структурата е показана на фиг. 2.9.</w:t>
      </w:r>
    </w:p>
    <w:p w:rsidR="003C1C09" w:rsidRDefault="003C1C09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844402" cy="12877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95" cy="1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CD" w:rsidRDefault="003C1C09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2.9</w:t>
      </w:r>
    </w:p>
    <w:p w:rsidR="002577CB" w:rsidRDefault="002577CB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822D2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934E5" w:rsidRDefault="005934E5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lastRenderedPageBreak/>
        <w:t>ТРЕТА ГЛАВА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Същност и реализация на приложението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</w:p>
    <w:p w:rsidR="005934E5" w:rsidRPr="005934E5" w:rsidRDefault="005934E5" w:rsidP="00436064">
      <w:pPr>
        <w:pStyle w:val="ListParagraph"/>
        <w:numPr>
          <w:ilvl w:val="0"/>
          <w:numId w:val="5"/>
        </w:numPr>
        <w:jc w:val="both"/>
        <w:rPr>
          <w:rStyle w:val="Style2"/>
        </w:rPr>
      </w:pPr>
      <w:r w:rsidRPr="005934E5">
        <w:rPr>
          <w:rStyle w:val="Style2"/>
          <w:lang w:val="bg-BG"/>
        </w:rPr>
        <w:t>Описание на процеса по обработка на рекламация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Какво е рекламация</w:t>
      </w:r>
    </w:p>
    <w:p w:rsidR="005934E5" w:rsidRDefault="005934E5" w:rsidP="005934E5">
      <w:pPr>
        <w:pStyle w:val="ListParagraph"/>
        <w:ind w:left="792"/>
        <w:jc w:val="both"/>
        <w:rPr>
          <w:rStyle w:val="Style2"/>
          <w:lang w:val="bg-BG"/>
        </w:rPr>
      </w:pPr>
    </w:p>
    <w:p w:rsidR="005934E5" w:rsidRDefault="005934E5" w:rsidP="005934E5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</w:t>
      </w:r>
      <w:r w:rsidR="00BC4141">
        <w:rPr>
          <w:rStyle w:val="Style2"/>
          <w:lang w:val="bg-BG"/>
        </w:rPr>
        <w:t>Приемане на уред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Първата стъпка е приемането на уред в оторизиран сервиз. За да се приеме един уред, са необходими следните данни:</w:t>
      </w:r>
    </w:p>
    <w:p w:rsid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Име и адрес на клиента – предоставят се, защото понякога трябва да се прави ремонт в дома на клиента, понеже уредът не може да бъде занесен до сервиза.</w:t>
      </w:r>
    </w:p>
    <w:p w:rsidR="00BC4141" w:rsidRP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Модел и сериен номер на уреда – тези данни се предоставят, защото ако е необходимо поръчването на части за уреда, чрез тях се разбира кои са точните части за него.</w:t>
      </w:r>
    </w:p>
    <w:p w:rsidR="00BC4141" w:rsidRPr="005934E5" w:rsidRDefault="00BC4141" w:rsidP="00BC4141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BC4141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Проверка дали уредът е в гаранция или не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да се провери дали един уред е в гаранция, трябва да се предоставят гаранционна карта и касов бон, които са доказателство, че уредът е купен на посочената от клиента дата. </w:t>
      </w:r>
      <w:r w:rsidR="00D54766">
        <w:rPr>
          <w:rStyle w:val="Style2"/>
          <w:b w:val="0"/>
          <w:lang w:val="bg-BG"/>
        </w:rPr>
        <w:t>Това е показано на фиг. 3.1.</w:t>
      </w:r>
    </w:p>
    <w:p w:rsid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</w:p>
    <w:p w:rsidR="00D54766" w:rsidRP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</w:rPr>
      </w:pPr>
      <w:r>
        <w:rPr>
          <w:rStyle w:val="Style2"/>
          <w:b w:val="0"/>
          <w:noProof/>
        </w:rPr>
        <w:drawing>
          <wp:inline distT="0" distB="0" distL="0" distR="0">
            <wp:extent cx="3543300" cy="37621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70" cy="37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41" w:rsidRPr="00BC4141" w:rsidRDefault="00D54766" w:rsidP="00D54766">
      <w:pPr>
        <w:pStyle w:val="ListParagraph"/>
        <w:jc w:val="both"/>
        <w:rPr>
          <w:rStyle w:val="Style2"/>
        </w:rPr>
      </w:pPr>
      <w:r>
        <w:rPr>
          <w:rStyle w:val="Style2"/>
          <w:b w:val="0"/>
          <w:lang w:val="bg-BG"/>
        </w:rPr>
        <w:t>фиг. 3.1</w:t>
      </w:r>
    </w:p>
    <w:p w:rsidR="00BC4141" w:rsidRPr="00D54766" w:rsidRDefault="00BC4141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В гаранция</w:t>
      </w:r>
    </w:p>
    <w:p w:rsidR="00D54766" w:rsidRPr="009C76FB" w:rsidRDefault="00D54766" w:rsidP="00D54766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Ако се установи, че уредът е в гаранция, той трябва да бъде върнат на клиента в рамките на 30 дни от датата на приемането на уреда.</w:t>
      </w:r>
      <w:r w:rsidR="009C76FB">
        <w:rPr>
          <w:rStyle w:val="Style2"/>
          <w:b w:val="0"/>
        </w:rPr>
        <w:t xml:space="preserve"> </w:t>
      </w:r>
      <w:r w:rsidR="009C76FB">
        <w:rPr>
          <w:rStyle w:val="Style2"/>
          <w:b w:val="0"/>
          <w:lang w:val="bg-BG"/>
        </w:rPr>
        <w:t>Процесът по обработка на този тип ремонти е посочен в по – долу описаните стъпки.</w:t>
      </w:r>
    </w:p>
    <w:p w:rsidR="00D54766" w:rsidRPr="00D54766" w:rsidRDefault="00D54766" w:rsidP="00D54766">
      <w:pPr>
        <w:pStyle w:val="ListParagraph"/>
        <w:ind w:left="0"/>
        <w:jc w:val="both"/>
        <w:rPr>
          <w:rStyle w:val="Style2"/>
        </w:rPr>
      </w:pPr>
    </w:p>
    <w:p w:rsidR="00D54766" w:rsidRPr="009C76FB" w:rsidRDefault="009C76FB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Посещение на адрес</w:t>
      </w:r>
    </w:p>
    <w:p w:rsidR="00EA2A01" w:rsidRPr="00EA2A01" w:rsidRDefault="009C76FB" w:rsidP="00FB2A03">
      <w:pPr>
        <w:pStyle w:val="ListParagraph"/>
        <w:ind w:left="1440" w:firstLine="720"/>
        <w:jc w:val="both"/>
        <w:rPr>
          <w:rStyle w:val="Style2"/>
        </w:rPr>
      </w:pPr>
      <w:r>
        <w:rPr>
          <w:rStyle w:val="Style2"/>
          <w:b w:val="0"/>
          <w:lang w:val="bg-BG"/>
        </w:rPr>
        <w:t>Ако ще има посещение на адрес, първо трябва да се уговори дата и час на посещението. Когато се отиде на адрес, най – важното е да се провери дали уредът е в гаранция. Ако е, се проверява дали уредът може да се ремонтира без да се носи до сервиз и ако не е нужно, се извършват нужните ремонтни дейности по уреда и ремонта се приключва</w:t>
      </w:r>
      <w:r w:rsidR="00AC49B4">
        <w:rPr>
          <w:rStyle w:val="Style2"/>
          <w:b w:val="0"/>
          <w:lang w:val="bg-BG"/>
        </w:rPr>
        <w:t>, но клиентът може да откаже ремонт на място и тогава уредът се транспортира до сервиза</w:t>
      </w:r>
      <w:r>
        <w:rPr>
          <w:rStyle w:val="Style2"/>
          <w:b w:val="0"/>
          <w:lang w:val="bg-BG"/>
        </w:rPr>
        <w:t>.</w:t>
      </w:r>
      <w:r w:rsidR="00EA2A01">
        <w:rPr>
          <w:rStyle w:val="Style2"/>
          <w:b w:val="0"/>
          <w:lang w:val="bg-BG"/>
        </w:rPr>
        <w:t xml:space="preserve"> Ако не е, ремонтът става извънгаранционен. Това е показано на фиг. 3.2 и фиг. 3.3.</w:t>
      </w:r>
    </w:p>
    <w:p w:rsidR="00EA2A01" w:rsidRDefault="00EA2A01" w:rsidP="00EA2A01">
      <w:pPr>
        <w:pStyle w:val="ListParagraph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4597400" cy="5485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59" cy="60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3.2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1177362" cy="2851150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18" cy="28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2"/>
          <w:b w:val="0"/>
          <w:lang w:val="bg-BG"/>
        </w:rPr>
        <w:t xml:space="preserve"> 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3.3</w:t>
      </w:r>
    </w:p>
    <w:p w:rsidR="009C76FB" w:rsidRDefault="009C76FB" w:rsidP="00FB2A03">
      <w:pPr>
        <w:pStyle w:val="ListParagraph"/>
        <w:ind w:left="0"/>
        <w:jc w:val="both"/>
        <w:rPr>
          <w:rStyle w:val="Style2"/>
        </w:rPr>
      </w:pPr>
    </w:p>
    <w:p w:rsidR="00FB2A03" w:rsidRPr="00D54766" w:rsidRDefault="00FB2A03" w:rsidP="00FB2A03">
      <w:pPr>
        <w:pStyle w:val="ListParagraph"/>
        <w:ind w:left="0"/>
        <w:jc w:val="both"/>
        <w:rPr>
          <w:rStyle w:val="Style2"/>
        </w:rPr>
      </w:pPr>
    </w:p>
    <w:p w:rsidR="00D54766" w:rsidRPr="00920E14" w:rsidRDefault="00920E14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Диагностика на уреда</w:t>
      </w:r>
    </w:p>
    <w:p w:rsidR="00920E14" w:rsidRPr="00D53773" w:rsidRDefault="00920E14" w:rsidP="00920E14">
      <w:pPr>
        <w:pStyle w:val="ListParagraph"/>
        <w:ind w:left="1440"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Диагностика на уреда се прави, когато няма посещение на адрес или когато няма да се прави ремонт на място. Отново се проверява дали уредът е в гаранция. Ако е, се прави допълнителна </w:t>
      </w:r>
      <w:r>
        <w:rPr>
          <w:rStyle w:val="Style2"/>
          <w:b w:val="0"/>
          <w:lang w:val="bg-BG"/>
        </w:rPr>
        <w:lastRenderedPageBreak/>
        <w:t>диагностика. Ако не е в гаранция, се издава протокол за отказ гараняция и уредът се ремонтира като извънгаранционен.</w:t>
      </w:r>
    </w:p>
    <w:p w:rsidR="00920E14" w:rsidRPr="00D54766" w:rsidRDefault="00920E14" w:rsidP="00920E14">
      <w:pPr>
        <w:pStyle w:val="ListParagraph"/>
        <w:ind w:left="2160"/>
        <w:jc w:val="both"/>
        <w:rPr>
          <w:rStyle w:val="Style2"/>
        </w:rPr>
      </w:pPr>
    </w:p>
    <w:p w:rsidR="00D54766" w:rsidRPr="00D53773" w:rsidRDefault="00D53773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Части по ремонт</w:t>
      </w:r>
    </w:p>
    <w:p w:rsidR="00D53773" w:rsidRDefault="00D53773" w:rsidP="00D53773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един ремонт може да се наложи използването на части. Проверява се дали са необходими части за този ремонт. Ако не е нужно тоест нужно е запояване на кабелче или качване на фабричния софтуер за уреда, директно се уведомява клиентът, че ремонтът по уреда е приключил. Ако е необходима част, първо се проверява дали нужната част я има в наличност, се изписва по този ремонт и след извършване на необходимите ремонтните дейности, се уведомява клиентът, че ремонтът е зъвършен. Ако необходимата част я няма в складова наличнос</w:t>
      </w:r>
      <w:r w:rsidR="005076D2">
        <w:rPr>
          <w:rStyle w:val="Style2"/>
          <w:b w:val="0"/>
          <w:lang w:val="bg-BG"/>
        </w:rPr>
        <w:t>т, се поръчва към производител. Проверява се дали трябва да се достави частта и ако да – се завежда в склада на сервиза, след което е възможно да бъде изписана по даден ремонт, след което се извършват необходимите ремонтнти дейности. Ако частта не трябва да се доставя, това означава, че уредът вече има три гаранционни ремонта и има регистриран четвърти основателен се издава протокол за замяна на уреда и ремонтът приключва.</w:t>
      </w:r>
    </w:p>
    <w:p w:rsidR="00D53773" w:rsidRPr="00D53773" w:rsidRDefault="00D53773" w:rsidP="00D53773">
      <w:pPr>
        <w:pStyle w:val="ListParagraph"/>
        <w:ind w:left="2160"/>
        <w:jc w:val="both"/>
        <w:rPr>
          <w:rStyle w:val="Style2"/>
          <w:b w:val="0"/>
        </w:rPr>
      </w:pPr>
    </w:p>
    <w:p w:rsidR="00D54766" w:rsidRPr="005076D2" w:rsidRDefault="005076D2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Уведомяване на клиента за приключил ремонт</w:t>
      </w:r>
    </w:p>
    <w:p w:rsidR="005076D2" w:rsidRDefault="005076D2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приключването на всички ремонтни дейности по поръчката, се уведомява клиентът, че уредът е ремонтиран. След това се пита дали клиентът желае уредът му да бъде доставен до дома му. Ако желае доставка, трябва да уточни дата и час на посещение и се доставя до клиента. Ако не желае доставка, това означава, </w:t>
      </w:r>
      <w:r w:rsidR="00781881">
        <w:rPr>
          <w:rStyle w:val="Style2"/>
          <w:b w:val="0"/>
          <w:lang w:val="bg-BG"/>
        </w:rPr>
        <w:t>че клиентът ще дойде до сервиза. И в двата случая дали с или без доставка, клиентът получава уреда си и поръчката приключва. Това е показано на фиг. 3.3.</w:t>
      </w:r>
    </w:p>
    <w:p w:rsidR="00781881" w:rsidRDefault="00781881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</w:p>
    <w:p w:rsidR="00D54766" w:rsidRPr="00781881" w:rsidRDefault="00781881" w:rsidP="00781881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2451100" cy="243854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74" cy="24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881">
        <w:rPr>
          <w:rStyle w:val="Header"/>
          <w:b/>
        </w:rPr>
        <w:t xml:space="preserve"> </w:t>
      </w:r>
      <w:r>
        <w:rPr>
          <w:rStyle w:val="Style2"/>
          <w:b w:val="0"/>
          <w:lang w:val="bg-BG"/>
        </w:rPr>
        <w:t>фиг. 3.3</w:t>
      </w:r>
    </w:p>
    <w:p w:rsidR="00BC4141" w:rsidRPr="00781881" w:rsidRDefault="00D54766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Извън гаранция</w:t>
      </w: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Гаранция на уред се отхвърля, защото има дефект, причинен от клиента</w:t>
      </w:r>
      <w:r w:rsidR="0072059C">
        <w:rPr>
          <w:rStyle w:val="Style2"/>
          <w:b w:val="0"/>
          <w:lang w:val="bg-BG"/>
        </w:rPr>
        <w:t xml:space="preserve"> и</w:t>
      </w:r>
      <w:r>
        <w:rPr>
          <w:rStyle w:val="Style2"/>
          <w:b w:val="0"/>
          <w:lang w:val="bg-BG"/>
        </w:rPr>
        <w:t xml:space="preserve"> </w:t>
      </w:r>
      <w:r w:rsidR="0072059C">
        <w:rPr>
          <w:rStyle w:val="Style2"/>
          <w:b w:val="0"/>
          <w:lang w:val="bg-BG"/>
        </w:rPr>
        <w:t xml:space="preserve">няма срок, в който уредът да бъде </w:t>
      </w:r>
      <w:bookmarkStart w:id="1" w:name="_GoBack"/>
      <w:bookmarkEnd w:id="1"/>
      <w:r w:rsidR="0072059C">
        <w:rPr>
          <w:rStyle w:val="Style2"/>
          <w:b w:val="0"/>
          <w:lang w:val="bg-BG"/>
        </w:rPr>
        <w:t xml:space="preserve">върнат на клиената. </w:t>
      </w:r>
      <w:r>
        <w:rPr>
          <w:rStyle w:val="Style2"/>
          <w:b w:val="0"/>
          <w:lang w:val="bg-BG"/>
        </w:rPr>
        <w:t>По една поръчка гаранция може да се отхвърли при следните етапи: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 приемането на уреда в сервиза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Когато трябва да се извърши ремонт на място</w:t>
      </w:r>
    </w:p>
    <w:p w:rsidR="003D2938" w:rsidRP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След проведена диагностика</w:t>
      </w:r>
    </w:p>
    <w:p w:rsidR="00781881" w:rsidRDefault="00781881" w:rsidP="00781881">
      <w:pPr>
        <w:pStyle w:val="ListParagraph"/>
        <w:ind w:left="1440"/>
        <w:jc w:val="both"/>
        <w:rPr>
          <w:rStyle w:val="Style2"/>
        </w:rPr>
      </w:pPr>
    </w:p>
    <w:p w:rsidR="00781881" w:rsidRPr="003D2938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Във всеки от горепосочените случаи процедурата по провеждане на извънгаранционен ремонт е една и съща.</w:t>
      </w:r>
      <w:r w:rsidR="0072059C">
        <w:rPr>
          <w:rStyle w:val="Style2"/>
          <w:b w:val="0"/>
          <w:lang w:val="bg-BG"/>
        </w:rPr>
        <w:t xml:space="preserve"> Започва се с </w:t>
      </w:r>
    </w:p>
    <w:p w:rsidR="00BC4141" w:rsidRPr="005934E5" w:rsidRDefault="00BC4141" w:rsidP="00BC4141">
      <w:pPr>
        <w:pStyle w:val="ListParagraph"/>
        <w:ind w:left="1224"/>
        <w:jc w:val="both"/>
        <w:rPr>
          <w:rStyle w:val="Style2"/>
        </w:rPr>
      </w:pP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920E14" w:rsidRDefault="005934E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Default="005934E5" w:rsidP="00436064">
      <w:pPr>
        <w:jc w:val="both"/>
        <w:rPr>
          <w:rStyle w:val="Style2"/>
          <w:lang w:val="bg-BG"/>
        </w:rPr>
      </w:pPr>
    </w:p>
    <w:p w:rsidR="002737ED" w:rsidRPr="00CA0A5C" w:rsidRDefault="00CA0A5C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t>СЪДЪРЖАНИЕ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A0A5C" w:rsidRDefault="00CA0A5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CA0A5C" w:rsidRDefault="00A13ACE">
      <w:pPr>
        <w:rPr>
          <w:rStyle w:val="Style2"/>
        </w:rPr>
      </w:pPr>
      <w:r w:rsidRPr="00CA0A5C">
        <w:rPr>
          <w:rStyle w:val="Style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2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r w:rsidRPr="00D13A50">
        <w:rPr>
          <w:rFonts w:ascii="Times New Roman" w:hAnsi="Times New Roman" w:cs="Times New Roman"/>
          <w:sz w:val="28"/>
          <w:lang w:val="en-US"/>
        </w:rPr>
        <w:t>SignalR</w:t>
      </w:r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3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Blazor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4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35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6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134D43" w:rsidRDefault="005E3C11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FA7E65">
        <w:rPr>
          <w:rFonts w:ascii="Times New Roman" w:hAnsi="Times New Roman" w:cs="Times New Roman"/>
          <w:sz w:val="28"/>
          <w:lang w:val="en-US"/>
        </w:rPr>
        <w:t xml:space="preserve">Platfrom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7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A2406C" w:rsidRPr="00A2406C" w:rsidRDefault="00134D43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>Firebase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134D43" w:rsidRPr="00A2406C" w:rsidRDefault="00134D43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38" w:history="1">
        <w:r w:rsidRPr="00134D43">
          <w:rPr>
            <w:rStyle w:val="Hyperlink"/>
            <w:rFonts w:ascii="Times New Roman" w:hAnsi="Times New Roman" w:cs="Times New Roman"/>
            <w:sz w:val="28"/>
          </w:rPr>
          <w:t>https://www.altexsoft.com/blog/firebase-review-pros-cons-alternatives/</w:t>
        </w:r>
      </w:hyperlink>
    </w:p>
    <w:p w:rsidR="00A2406C" w:rsidRPr="00A2406C" w:rsidRDefault="004B4AC8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8"/>
        </w:rPr>
      </w:pPr>
      <w:hyperlink r:id="rId39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https://www.cleveroad.com/blog/a-story-of-firebase-or-your-next-favourite-cloud-based-service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A2406C" w:rsidRPr="00A2406C" w:rsidRDefault="009D0920" w:rsidP="009D0920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</w:t>
      </w:r>
    </w:p>
    <w:p w:rsidR="009D0920" w:rsidRPr="00A2406C" w:rsidRDefault="009D0920" w:rsidP="00A2406C">
      <w:pPr>
        <w:pStyle w:val="ListParagraph"/>
        <w:numPr>
          <w:ilvl w:val="1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0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A2406C" w:rsidRPr="00A2406C" w:rsidRDefault="004B4AC8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32"/>
        </w:rPr>
      </w:pPr>
      <w:hyperlink r:id="rId41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https://github.com/vaquarkhan/vaquarkhan/wiki/Difference-between-scaling-horizontally-and-vertically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7F24A0" w:rsidRPr="005C79DB" w:rsidRDefault="00EC283D" w:rsidP="005C79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Причини избиране </w:t>
      </w:r>
      <w:r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42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F24A0" w:rsidRPr="005C79DB" w:rsidSect="00583269">
      <w:headerReference w:type="default" r:id="rId43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AC8" w:rsidRDefault="004B4AC8" w:rsidP="00883D96">
      <w:r>
        <w:separator/>
      </w:r>
    </w:p>
  </w:endnote>
  <w:endnote w:type="continuationSeparator" w:id="0">
    <w:p w:rsidR="004B4AC8" w:rsidRDefault="004B4AC8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AC8" w:rsidRDefault="004B4AC8" w:rsidP="00883D96">
      <w:r>
        <w:separator/>
      </w:r>
    </w:p>
  </w:footnote>
  <w:footnote w:type="continuationSeparator" w:id="0">
    <w:p w:rsidR="004B4AC8" w:rsidRDefault="004B4AC8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Default="00021743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1743" w:rsidRDefault="00021743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021743" w:rsidRPr="00883D96" w:rsidRDefault="00021743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B80EA6AE"/>
    <w:lvl w:ilvl="0" w:tplc="ED4E5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6D22"/>
    <w:multiLevelType w:val="hybridMultilevel"/>
    <w:tmpl w:val="00BA36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95CA5"/>
    <w:multiLevelType w:val="hybridMultilevel"/>
    <w:tmpl w:val="F0E2CA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6" w15:restartNumberingAfterBreak="0">
    <w:nsid w:val="26A95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5D6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63376"/>
    <w:multiLevelType w:val="hybridMultilevel"/>
    <w:tmpl w:val="DA7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9F32AD8"/>
    <w:multiLevelType w:val="hybridMultilevel"/>
    <w:tmpl w:val="4D04007E"/>
    <w:lvl w:ilvl="0" w:tplc="2C46F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C28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6" w15:restartNumberingAfterBreak="0">
    <w:nsid w:val="57471036"/>
    <w:multiLevelType w:val="hybridMultilevel"/>
    <w:tmpl w:val="5604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65066863"/>
    <w:multiLevelType w:val="hybridMultilevel"/>
    <w:tmpl w:val="600660AC"/>
    <w:lvl w:ilvl="0" w:tplc="639275CA">
      <w:start w:val="1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0400FA2"/>
    <w:multiLevelType w:val="hybridMultilevel"/>
    <w:tmpl w:val="2C7E3190"/>
    <w:lvl w:ilvl="0" w:tplc="E67602A8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24" w15:restartNumberingAfterBreak="0">
    <w:nsid w:val="7317052F"/>
    <w:multiLevelType w:val="multilevel"/>
    <w:tmpl w:val="0004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28"/>
  </w:num>
  <w:num w:numId="5">
    <w:abstractNumId w:val="24"/>
  </w:num>
  <w:num w:numId="6">
    <w:abstractNumId w:val="19"/>
  </w:num>
  <w:num w:numId="7">
    <w:abstractNumId w:val="26"/>
  </w:num>
  <w:num w:numId="8">
    <w:abstractNumId w:val="4"/>
  </w:num>
  <w:num w:numId="9">
    <w:abstractNumId w:val="15"/>
  </w:num>
  <w:num w:numId="10">
    <w:abstractNumId w:val="5"/>
  </w:num>
  <w:num w:numId="11">
    <w:abstractNumId w:val="27"/>
  </w:num>
  <w:num w:numId="12">
    <w:abstractNumId w:val="1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  <w:num w:numId="17">
    <w:abstractNumId w:val="21"/>
  </w:num>
  <w:num w:numId="18">
    <w:abstractNumId w:val="25"/>
  </w:num>
  <w:num w:numId="19">
    <w:abstractNumId w:val="18"/>
  </w:num>
  <w:num w:numId="20">
    <w:abstractNumId w:val="11"/>
  </w:num>
  <w:num w:numId="21">
    <w:abstractNumId w:val="12"/>
  </w:num>
  <w:num w:numId="22">
    <w:abstractNumId w:val="7"/>
  </w:num>
  <w:num w:numId="23">
    <w:abstractNumId w:val="20"/>
  </w:num>
  <w:num w:numId="24">
    <w:abstractNumId w:val="16"/>
  </w:num>
  <w:num w:numId="25">
    <w:abstractNumId w:val="22"/>
  </w:num>
  <w:num w:numId="26">
    <w:abstractNumId w:val="8"/>
  </w:num>
  <w:num w:numId="27">
    <w:abstractNumId w:val="6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NK8FAMXgF7MtAAAA"/>
  </w:docVars>
  <w:rsids>
    <w:rsidRoot w:val="00A55FD3"/>
    <w:rsid w:val="00010172"/>
    <w:rsid w:val="00021743"/>
    <w:rsid w:val="000226DA"/>
    <w:rsid w:val="00051DA2"/>
    <w:rsid w:val="00053F23"/>
    <w:rsid w:val="00054935"/>
    <w:rsid w:val="000567F5"/>
    <w:rsid w:val="000619A5"/>
    <w:rsid w:val="0007337B"/>
    <w:rsid w:val="00087E21"/>
    <w:rsid w:val="00087EA6"/>
    <w:rsid w:val="00091835"/>
    <w:rsid w:val="000A4607"/>
    <w:rsid w:val="000A4FF5"/>
    <w:rsid w:val="000B2DC0"/>
    <w:rsid w:val="000D0135"/>
    <w:rsid w:val="000D10F4"/>
    <w:rsid w:val="00115C2B"/>
    <w:rsid w:val="0012596D"/>
    <w:rsid w:val="00134D43"/>
    <w:rsid w:val="0013624C"/>
    <w:rsid w:val="00136DA2"/>
    <w:rsid w:val="00140889"/>
    <w:rsid w:val="00157CD3"/>
    <w:rsid w:val="0016233B"/>
    <w:rsid w:val="001705D3"/>
    <w:rsid w:val="00182745"/>
    <w:rsid w:val="00196752"/>
    <w:rsid w:val="001A71C3"/>
    <w:rsid w:val="001C609C"/>
    <w:rsid w:val="001D0C76"/>
    <w:rsid w:val="001D2886"/>
    <w:rsid w:val="001E018E"/>
    <w:rsid w:val="002330C0"/>
    <w:rsid w:val="002577CB"/>
    <w:rsid w:val="00260C88"/>
    <w:rsid w:val="00261F5E"/>
    <w:rsid w:val="002737ED"/>
    <w:rsid w:val="00276097"/>
    <w:rsid w:val="002E2186"/>
    <w:rsid w:val="002F63DC"/>
    <w:rsid w:val="00300C54"/>
    <w:rsid w:val="0034713D"/>
    <w:rsid w:val="00352A85"/>
    <w:rsid w:val="00374513"/>
    <w:rsid w:val="0038177B"/>
    <w:rsid w:val="00381E3F"/>
    <w:rsid w:val="00382B73"/>
    <w:rsid w:val="00395A68"/>
    <w:rsid w:val="003B3D6F"/>
    <w:rsid w:val="003C1C09"/>
    <w:rsid w:val="003C5425"/>
    <w:rsid w:val="003C794E"/>
    <w:rsid w:val="003D2938"/>
    <w:rsid w:val="004004C7"/>
    <w:rsid w:val="004076AF"/>
    <w:rsid w:val="004356BE"/>
    <w:rsid w:val="00436064"/>
    <w:rsid w:val="0046133A"/>
    <w:rsid w:val="004768A5"/>
    <w:rsid w:val="00492981"/>
    <w:rsid w:val="004A312B"/>
    <w:rsid w:val="004B4AC8"/>
    <w:rsid w:val="004B73BE"/>
    <w:rsid w:val="004D2CEC"/>
    <w:rsid w:val="004E19FE"/>
    <w:rsid w:val="004F6CE5"/>
    <w:rsid w:val="005076D2"/>
    <w:rsid w:val="0051474B"/>
    <w:rsid w:val="00550934"/>
    <w:rsid w:val="00565D0E"/>
    <w:rsid w:val="00580804"/>
    <w:rsid w:val="00583269"/>
    <w:rsid w:val="00584024"/>
    <w:rsid w:val="00587500"/>
    <w:rsid w:val="005934E5"/>
    <w:rsid w:val="005B5DD4"/>
    <w:rsid w:val="005C79DB"/>
    <w:rsid w:val="005E3C11"/>
    <w:rsid w:val="00644C9C"/>
    <w:rsid w:val="00662FB1"/>
    <w:rsid w:val="00667ECD"/>
    <w:rsid w:val="00686685"/>
    <w:rsid w:val="00693D45"/>
    <w:rsid w:val="006B4A77"/>
    <w:rsid w:val="006F4794"/>
    <w:rsid w:val="00700F7E"/>
    <w:rsid w:val="00717168"/>
    <w:rsid w:val="0072059C"/>
    <w:rsid w:val="007305E1"/>
    <w:rsid w:val="00741B73"/>
    <w:rsid w:val="00741D6F"/>
    <w:rsid w:val="0074226C"/>
    <w:rsid w:val="00770B55"/>
    <w:rsid w:val="00781881"/>
    <w:rsid w:val="007A5200"/>
    <w:rsid w:val="007B1D00"/>
    <w:rsid w:val="007C1C23"/>
    <w:rsid w:val="007C7D32"/>
    <w:rsid w:val="007F12BE"/>
    <w:rsid w:val="007F24A0"/>
    <w:rsid w:val="007F7D85"/>
    <w:rsid w:val="00807C51"/>
    <w:rsid w:val="00817510"/>
    <w:rsid w:val="00822D2E"/>
    <w:rsid w:val="00826144"/>
    <w:rsid w:val="00837A11"/>
    <w:rsid w:val="0084275D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20E14"/>
    <w:rsid w:val="00924C15"/>
    <w:rsid w:val="00933911"/>
    <w:rsid w:val="00950A23"/>
    <w:rsid w:val="00956326"/>
    <w:rsid w:val="00962EF4"/>
    <w:rsid w:val="009872B7"/>
    <w:rsid w:val="0099348B"/>
    <w:rsid w:val="009C76F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370D"/>
    <w:rsid w:val="00A2406C"/>
    <w:rsid w:val="00A27256"/>
    <w:rsid w:val="00A3392A"/>
    <w:rsid w:val="00A3416D"/>
    <w:rsid w:val="00A45BDB"/>
    <w:rsid w:val="00A53AA2"/>
    <w:rsid w:val="00A55FD3"/>
    <w:rsid w:val="00A73461"/>
    <w:rsid w:val="00AB287F"/>
    <w:rsid w:val="00AC49B4"/>
    <w:rsid w:val="00AD084E"/>
    <w:rsid w:val="00AE522F"/>
    <w:rsid w:val="00B1026A"/>
    <w:rsid w:val="00B4085D"/>
    <w:rsid w:val="00B465F7"/>
    <w:rsid w:val="00B5746A"/>
    <w:rsid w:val="00BB3050"/>
    <w:rsid w:val="00BB7EC5"/>
    <w:rsid w:val="00BC4141"/>
    <w:rsid w:val="00BD1C39"/>
    <w:rsid w:val="00C01685"/>
    <w:rsid w:val="00C13245"/>
    <w:rsid w:val="00C262A6"/>
    <w:rsid w:val="00C36B07"/>
    <w:rsid w:val="00C453EA"/>
    <w:rsid w:val="00C46D09"/>
    <w:rsid w:val="00C55F1E"/>
    <w:rsid w:val="00C644A0"/>
    <w:rsid w:val="00C961BB"/>
    <w:rsid w:val="00CA0A5C"/>
    <w:rsid w:val="00CC5243"/>
    <w:rsid w:val="00CE0622"/>
    <w:rsid w:val="00CE3B9D"/>
    <w:rsid w:val="00CE7180"/>
    <w:rsid w:val="00D13A50"/>
    <w:rsid w:val="00D14024"/>
    <w:rsid w:val="00D23083"/>
    <w:rsid w:val="00D344FB"/>
    <w:rsid w:val="00D52099"/>
    <w:rsid w:val="00D53773"/>
    <w:rsid w:val="00D54766"/>
    <w:rsid w:val="00D57DC2"/>
    <w:rsid w:val="00D67675"/>
    <w:rsid w:val="00D701FA"/>
    <w:rsid w:val="00D81E81"/>
    <w:rsid w:val="00DA3620"/>
    <w:rsid w:val="00DB59C6"/>
    <w:rsid w:val="00DC45FF"/>
    <w:rsid w:val="00DE1748"/>
    <w:rsid w:val="00DF68D8"/>
    <w:rsid w:val="00E050A2"/>
    <w:rsid w:val="00E11143"/>
    <w:rsid w:val="00E1321F"/>
    <w:rsid w:val="00E203E2"/>
    <w:rsid w:val="00E20428"/>
    <w:rsid w:val="00E21210"/>
    <w:rsid w:val="00E30B21"/>
    <w:rsid w:val="00E71273"/>
    <w:rsid w:val="00E83989"/>
    <w:rsid w:val="00EA28DA"/>
    <w:rsid w:val="00EA2A01"/>
    <w:rsid w:val="00EA3144"/>
    <w:rsid w:val="00EC145C"/>
    <w:rsid w:val="00EC283D"/>
    <w:rsid w:val="00ED631E"/>
    <w:rsid w:val="00F505DA"/>
    <w:rsid w:val="00F608C6"/>
    <w:rsid w:val="00F6782B"/>
    <w:rsid w:val="00F67A94"/>
    <w:rsid w:val="00F67EAD"/>
    <w:rsid w:val="00F76B3A"/>
    <w:rsid w:val="00F8150C"/>
    <w:rsid w:val="00FA11A8"/>
    <w:rsid w:val="00FA7E65"/>
    <w:rsid w:val="00FB2A03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E3B98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  <w:style w:type="paragraph" w:customStyle="1" w:styleId="Style1">
    <w:name w:val="Style1"/>
    <w:basedOn w:val="ListParagraph"/>
    <w:link w:val="Style1Char"/>
    <w:qFormat/>
    <w:rsid w:val="00AE522F"/>
    <w:pPr>
      <w:ind w:left="1440"/>
      <w:jc w:val="both"/>
    </w:pPr>
    <w:rPr>
      <w:rFonts w:ascii="Times New Roman" w:hAnsi="Times New Roman" w:cs="Times New Roman"/>
      <w:sz w:val="28"/>
    </w:rPr>
  </w:style>
  <w:style w:type="character" w:customStyle="1" w:styleId="Style2">
    <w:name w:val="Style2"/>
    <w:basedOn w:val="DefaultParagraphFont"/>
    <w:uiPriority w:val="1"/>
    <w:qFormat/>
    <w:rsid w:val="00A27256"/>
    <w:rPr>
      <w:rFonts w:ascii="Times New Roman" w:hAnsi="Times New Roman" w:cs="Times New Roman"/>
      <w:b/>
      <w:sz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522F"/>
    <w:rPr>
      <w:rFonts w:ascii="NTR" w:eastAsia="NTR" w:hAnsi="NTR" w:cs="NTR"/>
      <w:sz w:val="24"/>
      <w:szCs w:val="24"/>
      <w:lang w:val="bg-BG"/>
    </w:rPr>
  </w:style>
  <w:style w:type="character" w:customStyle="1" w:styleId="Style1Char">
    <w:name w:val="Style1 Char"/>
    <w:basedOn w:val="ListParagraphChar"/>
    <w:link w:val="Style1"/>
    <w:rsid w:val="00AE522F"/>
    <w:rPr>
      <w:rFonts w:ascii="Times New Roman" w:eastAsia="NTR" w:hAnsi="Times New Roman" w:cs="Times New Roman"/>
      <w:sz w:val="28"/>
      <w:szCs w:val="24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F12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cleveroad.com/blog/a-story-of-firebase-or-your-next-favourite-cloud-based-service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en-us/aspnet/core/blazor/?view=aspnetcore-3.1" TargetMode="External"/><Relationship Id="rId42" Type="http://schemas.openxmlformats.org/officeDocument/2006/relationships/hyperlink" Target="https://kinsta.com/blog/google-cloud-hostin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tutorialsteacher.com/webapi/what-is-web-api" TargetMode="External"/><Relationship Id="rId37" Type="http://schemas.openxmlformats.org/officeDocument/2006/relationships/hyperlink" Target="https://intellipaat.com/blog/what-is-google-cloud/" TargetMode="External"/><Relationship Id="rId40" Type="http://schemas.openxmlformats.org/officeDocument/2006/relationships/hyperlink" Target="https://medium.com/@abhinavkorpal/scaling-horizontally-and-vertically-for-databases-a2aef778610c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firebase.google.com/docs/firestor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earchmobilecomputing.techtarget.com/definition/Google-Firebase" TargetMode="External"/><Relationship Id="rId43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en-us/aspnet/core/signalr/introduction?view=aspnetcore-3.1" TargetMode="External"/><Relationship Id="rId38" Type="http://schemas.openxmlformats.org/officeDocument/2006/relationships/hyperlink" Target="https://www.altexsoft.com/blog/firebase-review-pros-cons-alternatives/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github.com/vaquarkhan/vaquarkhan/wiki/Difference-between-scaling-horizontally-and-verticall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050-0E28-4542-852F-EB9EB908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29</Pages>
  <Words>4842</Words>
  <Characters>27601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118</cp:revision>
  <dcterms:created xsi:type="dcterms:W3CDTF">2020-01-02T13:23:00Z</dcterms:created>
  <dcterms:modified xsi:type="dcterms:W3CDTF">2020-02-03T15:43:00Z</dcterms:modified>
</cp:coreProperties>
</file>