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EBF44" w14:textId="747CD083" w:rsidR="00217B52" w:rsidRDefault="00217B52" w:rsidP="00B27D9A">
      <w:pPr>
        <w:ind w:firstLine="720"/>
        <w:rPr>
          <w:rFonts w:ascii="Arial Narrow" w:hAnsi="Arial Narrow" w:cs="Arial"/>
        </w:rPr>
      </w:pPr>
      <w:r w:rsidRPr="00217B52">
        <w:rPr>
          <w:rFonts w:ascii="Arial Narrow" w:hAnsi="Arial Narrow" w:cs="Arial"/>
          <w:noProof/>
          <w:color w:val="767171" w:themeColor="background2" w:themeShade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81BC3" wp14:editId="7668DB14">
                <wp:simplePos x="0" y="0"/>
                <wp:positionH relativeFrom="column">
                  <wp:posOffset>-198120</wp:posOffset>
                </wp:positionH>
                <wp:positionV relativeFrom="paragraph">
                  <wp:posOffset>198120</wp:posOffset>
                </wp:positionV>
                <wp:extent cx="53340" cy="975360"/>
                <wp:effectExtent l="0" t="0" r="22860" b="15240"/>
                <wp:wrapNone/>
                <wp:docPr id="1093" name="Rectangle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9753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16BB0" id="Rectangle 1093" o:spid="_x0000_s1026" style="position:absolute;margin-left:-15.6pt;margin-top:15.6pt;width:4.2pt;height:7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" fillcolor="#c45911 [2405]" strokecolor="#c45911 [2405]" strokeweight="1pt"/>
            </w:pict>
          </mc:Fallback>
        </mc:AlternateContent>
      </w:r>
    </w:p>
    <w:p w14:paraId="54330D82" w14:textId="1BE2F89E" w:rsidR="00217B52" w:rsidRDefault="00217B52" w:rsidP="00217B52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FCE314C" wp14:editId="4640B365">
                <wp:simplePos x="0" y="0"/>
                <wp:positionH relativeFrom="column">
                  <wp:posOffset>243840</wp:posOffset>
                </wp:positionH>
                <wp:positionV relativeFrom="paragraph">
                  <wp:posOffset>281700</wp:posOffset>
                </wp:positionV>
                <wp:extent cx="360" cy="360"/>
                <wp:effectExtent l="38100" t="38100" r="57150" b="5715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A7B4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85" o:spid="_x0000_s1026" type="#_x0000_t75" style="position:absolute;margin-left:18.5pt;margin-top:21.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">
                <v:imagedata r:id="rId8" o:title=""/>
              </v:shape>
            </w:pict>
          </mc:Fallback>
        </mc:AlternateContent>
      </w:r>
      <w:r w:rsidRPr="00217B52">
        <w:rPr>
          <w:rFonts w:ascii="Arial Narrow" w:hAnsi="Arial Narrow" w:cs="Arial"/>
          <w:sz w:val="24"/>
          <w:szCs w:val="24"/>
        </w:rPr>
        <w:t xml:space="preserve">Ratio Analysis </w:t>
      </w:r>
    </w:p>
    <w:p w14:paraId="6D6881B7" w14:textId="77777777" w:rsidR="00217B52" w:rsidRPr="00217B52" w:rsidRDefault="00217B52" w:rsidP="00217B52">
      <w:pPr>
        <w:rPr>
          <w:rFonts w:ascii="Arial Narrow" w:hAnsi="Arial Narrow" w:cs="Arial"/>
          <w:sz w:val="24"/>
          <w:szCs w:val="24"/>
        </w:rPr>
      </w:pPr>
    </w:p>
    <w:p w14:paraId="7690D80F" w14:textId="387D5951" w:rsidR="001321D9" w:rsidRPr="00217B52" w:rsidRDefault="00A1566E" w:rsidP="00217B52">
      <w:pPr>
        <w:ind w:firstLine="720"/>
        <w:rPr>
          <w:rFonts w:ascii="Arial Narrow" w:hAnsi="Arial Narrow" w:cs="Arial"/>
        </w:rPr>
      </w:pPr>
      <w:r w:rsidRPr="00217B52">
        <w:rPr>
          <w:rFonts w:ascii="Arial Narrow" w:hAnsi="Arial Narrow" w:cs="Arial"/>
        </w:rPr>
        <w:t xml:space="preserve">Ratio </w:t>
      </w:r>
      <w:r w:rsidR="001321D9" w:rsidRPr="00217B52">
        <w:rPr>
          <w:rFonts w:ascii="Arial Narrow" w:hAnsi="Arial Narrow" w:cs="Arial"/>
        </w:rPr>
        <w:t>an</w:t>
      </w:r>
      <w:r w:rsidRPr="00217B52">
        <w:rPr>
          <w:rFonts w:ascii="Arial Narrow" w:hAnsi="Arial Narrow" w:cs="Arial"/>
        </w:rPr>
        <w:t>alysis</w:t>
      </w:r>
      <w:r w:rsidR="001321D9" w:rsidRPr="00217B52">
        <w:rPr>
          <w:rFonts w:ascii="Arial Narrow" w:hAnsi="Arial Narrow" w:cs="Arial"/>
        </w:rPr>
        <w:t xml:space="preserve"> are useful in understanding financial outcomes over time. They provide signs related to how a business is performing. Ratio analysis are </w:t>
      </w:r>
      <w:proofErr w:type="gramStart"/>
      <w:r w:rsidR="001321D9" w:rsidRPr="00217B52">
        <w:rPr>
          <w:rFonts w:ascii="Arial Narrow" w:hAnsi="Arial Narrow" w:cs="Arial"/>
        </w:rPr>
        <w:t>most commonly used</w:t>
      </w:r>
      <w:proofErr w:type="gramEnd"/>
      <w:r w:rsidR="001321D9" w:rsidRPr="00217B52">
        <w:rPr>
          <w:rFonts w:ascii="Arial Narrow" w:hAnsi="Arial Narrow" w:cs="Arial"/>
        </w:rPr>
        <w:t xml:space="preserve"> to identify where a business, company, firm etc</w:t>
      </w:r>
      <w:r w:rsidR="00B27D9A" w:rsidRPr="00217B52">
        <w:rPr>
          <w:rFonts w:ascii="Arial Narrow" w:hAnsi="Arial Narrow" w:cs="Arial"/>
        </w:rPr>
        <w:t>.</w:t>
      </w:r>
      <w:r w:rsidR="001321D9" w:rsidRPr="00217B52">
        <w:rPr>
          <w:rFonts w:ascii="Arial Narrow" w:hAnsi="Arial Narrow" w:cs="Arial"/>
        </w:rPr>
        <w:t xml:space="preserve"> </w:t>
      </w:r>
      <w:r w:rsidR="009E2E3E" w:rsidRPr="00217B52">
        <w:rPr>
          <w:rFonts w:ascii="Arial Narrow" w:hAnsi="Arial Narrow" w:cs="Arial"/>
        </w:rPr>
        <w:t xml:space="preserve">is in terms of strengths and weaknesses and how best to go about creating strategies that will help. </w:t>
      </w:r>
    </w:p>
    <w:p w14:paraId="49C8FE95" w14:textId="77777777" w:rsidR="001321D9" w:rsidRPr="00A1566E" w:rsidRDefault="001321D9">
      <w:pPr>
        <w:rPr>
          <w:rFonts w:ascii="Arial" w:hAnsi="Arial" w:cs="Arial"/>
        </w:rPr>
      </w:pPr>
    </w:p>
    <w:p w14:paraId="44D00B34" w14:textId="5FFB77AA" w:rsidR="00A1566E" w:rsidRPr="00E67EBC" w:rsidRDefault="001321D9">
      <w:pPr>
        <w:rPr>
          <w:rFonts w:ascii="Arial Narrow" w:hAnsi="Arial Narrow"/>
          <w:color w:val="C45911" w:themeColor="accent2" w:themeShade="BF"/>
          <w:sz w:val="28"/>
          <w:szCs w:val="28"/>
        </w:rPr>
      </w:pPr>
      <w:r w:rsidRPr="00E67EBC">
        <w:rPr>
          <w:rFonts w:ascii="Arial Narrow" w:hAnsi="Arial Narrow"/>
          <w:color w:val="C45911" w:themeColor="accent2" w:themeShade="BF"/>
          <w:sz w:val="28"/>
          <w:szCs w:val="28"/>
        </w:rPr>
        <w:t xml:space="preserve">Current Ratio </w:t>
      </w:r>
    </w:p>
    <w:p w14:paraId="4D2A9437" w14:textId="7584EB8D" w:rsidR="001321D9" w:rsidRPr="00217B52" w:rsidRDefault="001321D9">
      <w:pPr>
        <w:rPr>
          <w:rFonts w:ascii="Arial Narrow" w:hAnsi="Arial Narrow"/>
          <w:sz w:val="32"/>
          <w:szCs w:val="32"/>
        </w:rPr>
      </w:pPr>
    </w:p>
    <w:p w14:paraId="56EBCBCC" w14:textId="2D188BE2" w:rsidR="009E2E3E" w:rsidRDefault="001321D9" w:rsidP="00777C3E">
      <w:pPr>
        <w:ind w:firstLine="720"/>
        <w:rPr>
          <w:rFonts w:ascii="Arial" w:hAnsi="Arial" w:cs="Arial"/>
          <w:sz w:val="20"/>
          <w:szCs w:val="20"/>
        </w:rPr>
      </w:pPr>
      <w:r w:rsidRPr="00217B52">
        <w:rPr>
          <w:rFonts w:ascii="Arial Narrow" w:hAnsi="Arial Narrow" w:cs="Arial"/>
        </w:rPr>
        <w:t xml:space="preserve">A current ratio is </w:t>
      </w:r>
      <w:r w:rsidR="009E2E3E" w:rsidRPr="00217B52">
        <w:rPr>
          <w:rFonts w:ascii="Arial Narrow" w:hAnsi="Arial Narrow" w:cs="Arial"/>
        </w:rPr>
        <w:t>done by taking, in our case, a firm’s current assets and dividing that number by the firm’s current liabilities. Given the list of variables we can only assume that our current ratio is defined by CURASS/CURDEBT or R9.</w:t>
      </w:r>
      <w:r w:rsidR="00777C3E" w:rsidRPr="00217B52">
        <w:rPr>
          <w:rFonts w:ascii="Arial Narrow" w:hAnsi="Arial Narrow" w:cs="Arial"/>
        </w:rPr>
        <w:t xml:space="preserve"> A higher ratio signals a </w:t>
      </w:r>
      <w:r w:rsidR="00BD6AFB" w:rsidRPr="00217B52">
        <w:rPr>
          <w:rFonts w:ascii="Arial Narrow" w:hAnsi="Arial Narrow" w:cs="Arial"/>
        </w:rPr>
        <w:t>healthier</w:t>
      </w:r>
      <w:r w:rsidR="00777C3E" w:rsidRPr="00217B52">
        <w:rPr>
          <w:rFonts w:ascii="Arial Narrow" w:hAnsi="Arial Narrow" w:cs="Arial"/>
        </w:rPr>
        <w:t xml:space="preserve"> firm, for example firms with current ratios 2 or more reflect healthy finances while a current ratio of 1 or less signal what could be a problem</w:t>
      </w:r>
      <w:r w:rsidR="00777C3E">
        <w:rPr>
          <w:rFonts w:ascii="Arial" w:hAnsi="Arial" w:cs="Arial"/>
          <w:sz w:val="20"/>
          <w:szCs w:val="20"/>
        </w:rPr>
        <w:t xml:space="preserve">. </w:t>
      </w:r>
    </w:p>
    <w:p w14:paraId="073E20D9" w14:textId="50ADB94B" w:rsidR="00B27D9A" w:rsidRDefault="00B27D9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758B92D" wp14:editId="367187A7">
            <wp:extent cx="6019800" cy="2407920"/>
            <wp:effectExtent l="171450" t="190500" r="190500" b="2019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8" t="22564" r="12564" b="5414"/>
                    <a:stretch/>
                  </pic:blipFill>
                  <pic:spPr bwMode="auto">
                    <a:xfrm>
                      <a:off x="0" y="0"/>
                      <a:ext cx="6019800" cy="2407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A44D1" w14:textId="01397533" w:rsidR="00BD6AFB" w:rsidRDefault="00A26885">
      <w:pPr>
        <w:rPr>
          <w:rFonts w:ascii="Arial" w:hAnsi="Arial" w:cs="Arial"/>
          <w:sz w:val="20"/>
          <w:szCs w:val="20"/>
        </w:rPr>
      </w:pPr>
      <w:r w:rsidRPr="00A26885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51DD0D" wp14:editId="1733A0AB">
                <wp:simplePos x="0" y="0"/>
                <wp:positionH relativeFrom="column">
                  <wp:posOffset>4168140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DA541" w14:textId="5D8F8728" w:rsidR="00A26885" w:rsidRPr="00A26885" w:rsidRDefault="00A26885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A26885">
                              <w:rPr>
                                <w:rFonts w:ascii="Arial Narrow" w:hAnsi="Arial Narrow"/>
                              </w:rPr>
                              <w:t xml:space="preserve">Healthier firms are reflected here. </w:t>
                            </w:r>
                          </w:p>
                          <w:p w14:paraId="3E009B27" w14:textId="67AE29F4" w:rsidR="00A26885" w:rsidRPr="00A26885" w:rsidRDefault="00A26885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A26885">
                              <w:rPr>
                                <w:rFonts w:ascii="Arial Narrow" w:hAnsi="Arial Narrow"/>
                              </w:rPr>
                              <w:t xml:space="preserve">As you can see most of the current ratios reflect values of two or more, although a few and less than two they can ultimately be rounded to 1 reflecting the fact that the firm would still be able to cover expenses.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451DD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8.2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" fillcolor="white [3201]" strokecolor="#ed7d31 [3205]" strokeweight="1pt">
                <v:textbox style="mso-fit-shape-to-text:t">
                  <w:txbxContent>
                    <w:p w14:paraId="3A7DA541" w14:textId="5D8F8728" w:rsidR="00A26885" w:rsidRPr="00A26885" w:rsidRDefault="00A26885">
                      <w:pPr>
                        <w:rPr>
                          <w:rFonts w:ascii="Arial Narrow" w:hAnsi="Arial Narrow"/>
                        </w:rPr>
                      </w:pPr>
                      <w:r w:rsidRPr="00A26885">
                        <w:rPr>
                          <w:rFonts w:ascii="Arial Narrow" w:hAnsi="Arial Narrow"/>
                        </w:rPr>
                        <w:t xml:space="preserve">Healthier firms are reflected here. </w:t>
                      </w:r>
                    </w:p>
                    <w:p w14:paraId="3E009B27" w14:textId="67AE29F4" w:rsidR="00A26885" w:rsidRPr="00A26885" w:rsidRDefault="00A26885">
                      <w:pPr>
                        <w:rPr>
                          <w:rFonts w:ascii="Arial Narrow" w:hAnsi="Arial Narrow"/>
                        </w:rPr>
                      </w:pPr>
                      <w:r w:rsidRPr="00A26885">
                        <w:rPr>
                          <w:rFonts w:ascii="Arial Narrow" w:hAnsi="Arial Narrow"/>
                        </w:rPr>
                        <w:t xml:space="preserve">As you can see most of the current ratios reflect values of two or more, although a few and less than two they can ultimately be rounded to 1 reflecting the fact that the firm would still be able to cover expenses.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6AFB">
        <w:rPr>
          <w:noProof/>
        </w:rPr>
        <w:drawing>
          <wp:inline distT="0" distB="0" distL="0" distR="0" wp14:anchorId="6507EFFE" wp14:editId="428F6179">
            <wp:extent cx="1849217" cy="4326255"/>
            <wp:effectExtent l="95250" t="76200" r="113030" b="93345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026" t="11978" r="80256" b="5641"/>
                    <a:stretch/>
                  </pic:blipFill>
                  <pic:spPr bwMode="auto">
                    <a:xfrm>
                      <a:off x="0" y="0"/>
                      <a:ext cx="1859289" cy="43498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rnd" cmpd="sng" algn="ctr">
                      <a:solidFill>
                        <a:schemeClr val="accent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AFB">
        <w:rPr>
          <w:noProof/>
        </w:rPr>
        <w:drawing>
          <wp:inline distT="0" distB="0" distL="0" distR="0" wp14:anchorId="4EDBE354" wp14:editId="5F87687F">
            <wp:extent cx="1380033" cy="2948940"/>
            <wp:effectExtent l="152400" t="171450" r="182245" b="17526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054" r="87692" b="5869"/>
                    <a:stretch/>
                  </pic:blipFill>
                  <pic:spPr bwMode="auto">
                    <a:xfrm>
                      <a:off x="0" y="0"/>
                      <a:ext cx="1407874" cy="300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CE04" w14:textId="03253E8F" w:rsidR="00A26885" w:rsidRDefault="00A2688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6DDA746" wp14:editId="7A26D305">
            <wp:extent cx="4572000" cy="2743200"/>
            <wp:effectExtent l="0" t="0" r="0" b="0"/>
            <wp:docPr id="1080" name="Chart 1080">
              <a:extLst xmlns:a="http://schemas.openxmlformats.org/drawingml/2006/main">
                <a:ext uri="{FF2B5EF4-FFF2-40B4-BE49-F238E27FC236}">
                  <a16:creationId xmlns:a16="http://schemas.microsoft.com/office/drawing/2014/main" id="{FF99E38E-8E4F-45FC-8228-047090E6B8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B56D7CF" w14:textId="62002E88" w:rsidR="00BD6AFB" w:rsidRDefault="00BD6AFB">
      <w:pPr>
        <w:rPr>
          <w:rFonts w:ascii="Arial" w:hAnsi="Arial" w:cs="Arial"/>
          <w:sz w:val="20"/>
          <w:szCs w:val="20"/>
        </w:rPr>
      </w:pPr>
    </w:p>
    <w:p w14:paraId="0A7268C2" w14:textId="77777777" w:rsidR="00BD6AFB" w:rsidRDefault="00BD6AFB">
      <w:pPr>
        <w:rPr>
          <w:rFonts w:ascii="Arial" w:hAnsi="Arial" w:cs="Arial"/>
          <w:sz w:val="20"/>
          <w:szCs w:val="20"/>
        </w:rPr>
      </w:pPr>
    </w:p>
    <w:p w14:paraId="187D7B5C" w14:textId="77564912" w:rsidR="00777C3E" w:rsidRDefault="00217B52">
      <w:pPr>
        <w:rPr>
          <w:rFonts w:ascii="Arial" w:hAnsi="Arial" w:cs="Arial"/>
          <w:sz w:val="20"/>
          <w:szCs w:val="20"/>
        </w:rPr>
      </w:pPr>
      <w:r w:rsidRPr="00217B52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3E1CEB" wp14:editId="7FC9D05B">
                <wp:simplePos x="0" y="0"/>
                <wp:positionH relativeFrom="column">
                  <wp:posOffset>3284220</wp:posOffset>
                </wp:positionH>
                <wp:positionV relativeFrom="paragraph">
                  <wp:posOffset>190500</wp:posOffset>
                </wp:positionV>
                <wp:extent cx="2360930" cy="1404620"/>
                <wp:effectExtent l="0" t="0" r="22860" b="17145"/>
                <wp:wrapSquare wrapText="bothSides"/>
                <wp:docPr id="10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E7FB" w14:textId="173DF8F8" w:rsidR="00217B52" w:rsidRPr="00217B52" w:rsidRDefault="00217B52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217B52">
                              <w:rPr>
                                <w:rFonts w:ascii="Arial Narrow" w:hAnsi="Arial Narrow"/>
                              </w:rPr>
                              <w:t xml:space="preserve">Unhealthy firms are reflected here. </w:t>
                            </w:r>
                          </w:p>
                          <w:p w14:paraId="3F84EE74" w14:textId="3F3B80E2" w:rsidR="00217B52" w:rsidRPr="00217B52" w:rsidRDefault="00217B52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217B52">
                              <w:rPr>
                                <w:rFonts w:ascii="Arial Narrow" w:hAnsi="Arial Narrow"/>
                              </w:rPr>
                              <w:t xml:space="preserve">As you can see the numbers reflect lower average values. </w:t>
                            </w:r>
                          </w:p>
                          <w:p w14:paraId="0715DE29" w14:textId="6A4C96B1" w:rsidR="00217B52" w:rsidRDefault="00217B5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3E1CEB" id="_x0000_s1027" type="#_x0000_t202" style="position:absolute;margin-left:258.6pt;margin-top: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" fillcolor="white [3201]" strokecolor="#ed7d31 [3205]" strokeweight="1pt">
                <v:textbox style="mso-fit-shape-to-text:t">
                  <w:txbxContent>
                    <w:p w14:paraId="3B3EE7FB" w14:textId="173DF8F8" w:rsidR="00217B52" w:rsidRPr="00217B52" w:rsidRDefault="00217B52">
                      <w:pPr>
                        <w:rPr>
                          <w:rFonts w:ascii="Arial Narrow" w:hAnsi="Arial Narrow"/>
                        </w:rPr>
                      </w:pPr>
                      <w:r w:rsidRPr="00217B52">
                        <w:rPr>
                          <w:rFonts w:ascii="Arial Narrow" w:hAnsi="Arial Narrow"/>
                        </w:rPr>
                        <w:t xml:space="preserve">Unhealthy firms are reflected here. </w:t>
                      </w:r>
                    </w:p>
                    <w:p w14:paraId="3F84EE74" w14:textId="3F3B80E2" w:rsidR="00217B52" w:rsidRPr="00217B52" w:rsidRDefault="00217B52">
                      <w:pPr>
                        <w:rPr>
                          <w:rFonts w:ascii="Arial Narrow" w:hAnsi="Arial Narrow"/>
                        </w:rPr>
                      </w:pPr>
                      <w:r w:rsidRPr="00217B52">
                        <w:rPr>
                          <w:rFonts w:ascii="Arial Narrow" w:hAnsi="Arial Narrow"/>
                        </w:rPr>
                        <w:t xml:space="preserve">As you can see the numbers reflect lower average values. </w:t>
                      </w:r>
                    </w:p>
                    <w:p w14:paraId="0715DE29" w14:textId="6A4C96B1" w:rsidR="00217B52" w:rsidRDefault="00217B52"/>
                  </w:txbxContent>
                </v:textbox>
                <w10:wrap type="square"/>
              </v:shape>
            </w:pict>
          </mc:Fallback>
        </mc:AlternateContent>
      </w:r>
      <w:r w:rsidR="00A26885">
        <w:rPr>
          <w:noProof/>
        </w:rPr>
        <w:drawing>
          <wp:inline distT="0" distB="0" distL="0" distR="0" wp14:anchorId="129106DC" wp14:editId="627A2BB6">
            <wp:extent cx="1211580" cy="4186546"/>
            <wp:effectExtent l="95250" t="76200" r="83820" b="119380"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53" t="14815" r="63805" b="5641"/>
                    <a:stretch/>
                  </pic:blipFill>
                  <pic:spPr bwMode="auto">
                    <a:xfrm>
                      <a:off x="0" y="0"/>
                      <a:ext cx="1215276" cy="41993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2225" cap="sq">
                      <a:solidFill>
                        <a:schemeClr val="accent2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885">
        <w:rPr>
          <w:noProof/>
        </w:rPr>
        <w:drawing>
          <wp:inline distT="0" distB="0" distL="0" distR="0" wp14:anchorId="0225A494" wp14:editId="7ABC12C5">
            <wp:extent cx="1188582" cy="4099560"/>
            <wp:effectExtent l="114300" t="114300" r="145415" b="148590"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7" t="18006" r="65384" b="6553"/>
                    <a:stretch/>
                  </pic:blipFill>
                  <pic:spPr bwMode="auto">
                    <a:xfrm>
                      <a:off x="0" y="0"/>
                      <a:ext cx="1201368" cy="4143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A0227" w14:textId="2FA98D32" w:rsidR="00217B52" w:rsidRDefault="00217B5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A929636" wp14:editId="1B72BAC2">
            <wp:extent cx="4572000" cy="2743200"/>
            <wp:effectExtent l="0" t="0" r="0" b="0"/>
            <wp:docPr id="1083" name="Chart 1083">
              <a:extLst xmlns:a="http://schemas.openxmlformats.org/drawingml/2006/main">
                <a:ext uri="{FF2B5EF4-FFF2-40B4-BE49-F238E27FC236}">
                  <a16:creationId xmlns:a16="http://schemas.microsoft.com/office/drawing/2014/main" id="{CE55853C-EB51-4F49-8469-C0F93ECF32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69A859E" w14:textId="77777777" w:rsidR="00217B52" w:rsidRDefault="00217B52">
      <w:pPr>
        <w:rPr>
          <w:rFonts w:ascii="Arial" w:hAnsi="Arial" w:cs="Arial"/>
          <w:sz w:val="20"/>
          <w:szCs w:val="20"/>
        </w:rPr>
      </w:pPr>
    </w:p>
    <w:p w14:paraId="08B583C3" w14:textId="02EA7A47" w:rsidR="00777C3E" w:rsidRDefault="00777C3E">
      <w:pPr>
        <w:rPr>
          <w:rFonts w:ascii="Arial" w:hAnsi="Arial" w:cs="Arial"/>
          <w:sz w:val="20"/>
          <w:szCs w:val="20"/>
        </w:rPr>
      </w:pPr>
    </w:p>
    <w:p w14:paraId="7861A093" w14:textId="545A1CBE" w:rsidR="00BD6AFB" w:rsidRDefault="00BD6AFB">
      <w:pPr>
        <w:rPr>
          <w:rFonts w:ascii="Arial" w:hAnsi="Arial" w:cs="Arial"/>
          <w:sz w:val="20"/>
          <w:szCs w:val="20"/>
        </w:rPr>
      </w:pPr>
    </w:p>
    <w:p w14:paraId="200D80D0" w14:textId="41137298" w:rsidR="00BD6AFB" w:rsidRPr="00E67EBC" w:rsidRDefault="00BD6AFB">
      <w:pPr>
        <w:rPr>
          <w:rFonts w:ascii="Arial Narrow" w:hAnsi="Arial Narrow" w:cs="Arial"/>
          <w:color w:val="C45911" w:themeColor="accent2" w:themeShade="BF"/>
          <w:sz w:val="24"/>
          <w:szCs w:val="24"/>
        </w:rPr>
      </w:pPr>
    </w:p>
    <w:p w14:paraId="75661D38" w14:textId="581EA272" w:rsidR="00CF513F" w:rsidRPr="00E67EBC" w:rsidRDefault="00CF513F">
      <w:pPr>
        <w:rPr>
          <w:rFonts w:ascii="Arial Narrow" w:hAnsi="Arial Narrow" w:cs="Arial"/>
          <w:color w:val="C45911" w:themeColor="accent2" w:themeShade="BF"/>
          <w:sz w:val="28"/>
          <w:szCs w:val="28"/>
        </w:rPr>
      </w:pPr>
      <w:r w:rsidRPr="00E67EBC">
        <w:rPr>
          <w:rFonts w:ascii="Arial Narrow" w:hAnsi="Arial Narrow" w:cs="Arial"/>
          <w:color w:val="C45911" w:themeColor="accent2" w:themeShade="BF"/>
          <w:sz w:val="28"/>
          <w:szCs w:val="28"/>
        </w:rPr>
        <w:t xml:space="preserve">Cash Flow to Debts Ratio </w:t>
      </w:r>
    </w:p>
    <w:p w14:paraId="09AA26CB" w14:textId="72E92D38" w:rsidR="00E67EBC" w:rsidRDefault="00CF513F">
      <w:pPr>
        <w:rPr>
          <w:rFonts w:ascii="Arial Narrow" w:hAnsi="Arial Narrow" w:cs="Arial"/>
          <w:sz w:val="20"/>
          <w:szCs w:val="20"/>
        </w:rPr>
      </w:pPr>
      <w:r w:rsidRPr="00E67EBC">
        <w:rPr>
          <w:rFonts w:ascii="Arial Narrow" w:hAnsi="Arial Narrow" w:cs="Arial"/>
          <w:sz w:val="20"/>
          <w:szCs w:val="20"/>
        </w:rPr>
        <w:t xml:space="preserve">A cash </w:t>
      </w:r>
      <w:r w:rsidR="00E735B0" w:rsidRPr="00E67EBC">
        <w:rPr>
          <w:rFonts w:ascii="Arial Narrow" w:hAnsi="Arial Narrow" w:cs="Arial"/>
          <w:sz w:val="20"/>
          <w:szCs w:val="20"/>
        </w:rPr>
        <w:t>flow to debts ratio is calculated by dividing the cash flow from operations by total debt.</w:t>
      </w:r>
      <w:r w:rsidR="00E67EBC">
        <w:rPr>
          <w:rFonts w:ascii="Arial Narrow" w:hAnsi="Arial Narrow" w:cs="Arial"/>
          <w:sz w:val="20"/>
          <w:szCs w:val="20"/>
        </w:rPr>
        <w:t xml:space="preserve"> </w:t>
      </w:r>
      <w:r w:rsidR="00E735B0" w:rsidRPr="00E67EBC">
        <w:rPr>
          <w:rFonts w:ascii="Arial Narrow" w:hAnsi="Arial Narrow" w:cs="Arial"/>
          <w:sz w:val="20"/>
          <w:szCs w:val="20"/>
        </w:rPr>
        <w:t xml:space="preserve">Given the list of variables we can assume </w:t>
      </w:r>
      <w:r w:rsidR="00E67EBC" w:rsidRPr="00E67EBC">
        <w:rPr>
          <w:rFonts w:ascii="Arial Narrow" w:hAnsi="Arial Narrow" w:cs="Arial"/>
          <w:sz w:val="20"/>
          <w:szCs w:val="20"/>
        </w:rPr>
        <w:t xml:space="preserve">these values are represented by ‘CFFO/DEBTS’ or R7 from the description sheet. </w:t>
      </w:r>
      <w:r w:rsidR="001332D7">
        <w:rPr>
          <w:rFonts w:ascii="Arial Narrow" w:hAnsi="Arial Narrow" w:cs="Arial"/>
          <w:sz w:val="20"/>
          <w:szCs w:val="20"/>
        </w:rPr>
        <w:t xml:space="preserve">Healthier ratios are usually those that </w:t>
      </w:r>
      <w:r w:rsidR="004771E9">
        <w:rPr>
          <w:rFonts w:ascii="Arial Narrow" w:hAnsi="Arial Narrow" w:cs="Arial"/>
          <w:sz w:val="20"/>
          <w:szCs w:val="20"/>
        </w:rPr>
        <w:t>are higher than 1</w:t>
      </w:r>
      <w:r w:rsidR="001332D7">
        <w:rPr>
          <w:rFonts w:ascii="Arial Narrow" w:hAnsi="Arial Narrow" w:cs="Arial"/>
          <w:sz w:val="20"/>
          <w:szCs w:val="20"/>
        </w:rPr>
        <w:t xml:space="preserve">. Any ratio that is under one reflects an approaching bankruptcy. </w:t>
      </w:r>
    </w:p>
    <w:p w14:paraId="272EC0BC" w14:textId="47A4B8CC" w:rsidR="001332D7" w:rsidRDefault="001332D7">
      <w:pPr>
        <w:rPr>
          <w:rFonts w:ascii="Arial Narrow" w:hAnsi="Arial Narrow" w:cs="Arial"/>
          <w:sz w:val="20"/>
          <w:szCs w:val="20"/>
        </w:rPr>
      </w:pPr>
    </w:p>
    <w:p w14:paraId="15525569" w14:textId="12A354D2" w:rsidR="001332D7" w:rsidRDefault="001332D7">
      <w:pPr>
        <w:rPr>
          <w:rFonts w:ascii="Arial Narrow" w:hAnsi="Arial Narrow" w:cs="Arial"/>
          <w:sz w:val="20"/>
          <w:szCs w:val="20"/>
        </w:rPr>
      </w:pPr>
    </w:p>
    <w:p w14:paraId="1EF9AE32" w14:textId="21CCA145" w:rsidR="001332D7" w:rsidRPr="00E67EBC" w:rsidRDefault="001332D7">
      <w:pPr>
        <w:rPr>
          <w:rFonts w:ascii="Arial Narrow" w:hAnsi="Arial Narrow" w:cs="Arial"/>
          <w:sz w:val="20"/>
          <w:szCs w:val="20"/>
        </w:rPr>
      </w:pPr>
      <w:r>
        <w:rPr>
          <w:noProof/>
        </w:rPr>
        <w:drawing>
          <wp:inline distT="0" distB="0" distL="0" distR="0" wp14:anchorId="42538B24" wp14:editId="05F7361A">
            <wp:extent cx="5928360" cy="2682240"/>
            <wp:effectExtent l="0" t="0" r="0" b="3810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359" r="23718" b="5413"/>
                    <a:stretch/>
                  </pic:blipFill>
                  <pic:spPr bwMode="auto">
                    <a:xfrm>
                      <a:off x="0" y="0"/>
                      <a:ext cx="592836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E8804" w14:textId="77777777" w:rsidR="00E735B0" w:rsidRDefault="00E735B0">
      <w:pPr>
        <w:rPr>
          <w:rFonts w:ascii="Arial" w:hAnsi="Arial" w:cs="Arial"/>
          <w:sz w:val="20"/>
          <w:szCs w:val="20"/>
        </w:rPr>
      </w:pPr>
    </w:p>
    <w:p w14:paraId="67D9ABB7" w14:textId="7678B095" w:rsidR="00BD6AFB" w:rsidRDefault="00BD6AFB">
      <w:pPr>
        <w:rPr>
          <w:rFonts w:ascii="Arial" w:hAnsi="Arial" w:cs="Arial"/>
          <w:sz w:val="20"/>
          <w:szCs w:val="20"/>
        </w:rPr>
      </w:pPr>
    </w:p>
    <w:p w14:paraId="0F1B2C0F" w14:textId="2075EC88" w:rsidR="004771E9" w:rsidRDefault="004771E9">
      <w:pPr>
        <w:rPr>
          <w:rFonts w:ascii="Arial" w:hAnsi="Arial" w:cs="Arial"/>
          <w:sz w:val="20"/>
          <w:szCs w:val="20"/>
        </w:rPr>
      </w:pPr>
    </w:p>
    <w:p w14:paraId="66FFCFE8" w14:textId="7ED7E173" w:rsidR="004771E9" w:rsidRDefault="004771E9">
      <w:pPr>
        <w:rPr>
          <w:rFonts w:ascii="Arial" w:hAnsi="Arial" w:cs="Arial"/>
          <w:sz w:val="20"/>
          <w:szCs w:val="20"/>
        </w:rPr>
      </w:pPr>
    </w:p>
    <w:p w14:paraId="3AF107BE" w14:textId="4BC2CD61" w:rsidR="004771E9" w:rsidRDefault="004771E9">
      <w:pPr>
        <w:rPr>
          <w:rFonts w:ascii="Arial" w:hAnsi="Arial" w:cs="Arial"/>
          <w:sz w:val="20"/>
          <w:szCs w:val="20"/>
        </w:rPr>
      </w:pPr>
    </w:p>
    <w:p w14:paraId="0B4DD56A" w14:textId="4400E873" w:rsidR="004771E9" w:rsidRDefault="004771E9">
      <w:pPr>
        <w:rPr>
          <w:rFonts w:ascii="Arial" w:hAnsi="Arial" w:cs="Arial"/>
          <w:sz w:val="20"/>
          <w:szCs w:val="20"/>
        </w:rPr>
      </w:pPr>
    </w:p>
    <w:p w14:paraId="71E24C4E" w14:textId="119645F3" w:rsidR="004771E9" w:rsidRDefault="004771E9">
      <w:pPr>
        <w:rPr>
          <w:rFonts w:ascii="Arial" w:hAnsi="Arial" w:cs="Arial"/>
          <w:sz w:val="20"/>
          <w:szCs w:val="20"/>
        </w:rPr>
      </w:pPr>
    </w:p>
    <w:p w14:paraId="4D062743" w14:textId="001D00B9" w:rsidR="004771E9" w:rsidRDefault="004771E9">
      <w:pPr>
        <w:rPr>
          <w:rFonts w:ascii="Arial" w:hAnsi="Arial" w:cs="Arial"/>
          <w:sz w:val="20"/>
          <w:szCs w:val="20"/>
        </w:rPr>
      </w:pPr>
    </w:p>
    <w:p w14:paraId="73B16257" w14:textId="77169917" w:rsidR="004771E9" w:rsidRDefault="004771E9">
      <w:pPr>
        <w:rPr>
          <w:rFonts w:ascii="Arial" w:hAnsi="Arial" w:cs="Arial"/>
          <w:sz w:val="20"/>
          <w:szCs w:val="20"/>
        </w:rPr>
      </w:pPr>
    </w:p>
    <w:p w14:paraId="38FC0EC0" w14:textId="38CEBE48" w:rsidR="004771E9" w:rsidRDefault="004771E9">
      <w:pPr>
        <w:rPr>
          <w:rFonts w:ascii="Arial" w:hAnsi="Arial" w:cs="Arial"/>
          <w:sz w:val="20"/>
          <w:szCs w:val="20"/>
        </w:rPr>
      </w:pPr>
    </w:p>
    <w:p w14:paraId="6E66A486" w14:textId="72C296BF" w:rsidR="004771E9" w:rsidRDefault="004771E9">
      <w:pPr>
        <w:rPr>
          <w:rFonts w:ascii="Arial" w:hAnsi="Arial" w:cs="Arial"/>
          <w:sz w:val="20"/>
          <w:szCs w:val="20"/>
        </w:rPr>
      </w:pPr>
    </w:p>
    <w:p w14:paraId="2E1E1726" w14:textId="536AC6B9" w:rsidR="004771E9" w:rsidRDefault="004771E9">
      <w:pPr>
        <w:rPr>
          <w:rFonts w:ascii="Arial" w:hAnsi="Arial" w:cs="Arial"/>
          <w:sz w:val="20"/>
          <w:szCs w:val="20"/>
        </w:rPr>
      </w:pPr>
    </w:p>
    <w:p w14:paraId="425690B5" w14:textId="0DFA4001" w:rsidR="004771E9" w:rsidRDefault="004771E9">
      <w:pPr>
        <w:rPr>
          <w:rFonts w:ascii="Arial" w:hAnsi="Arial" w:cs="Arial"/>
          <w:sz w:val="20"/>
          <w:szCs w:val="20"/>
        </w:rPr>
      </w:pPr>
    </w:p>
    <w:p w14:paraId="54762E72" w14:textId="54E09B36" w:rsidR="004771E9" w:rsidRDefault="004771E9">
      <w:pPr>
        <w:rPr>
          <w:rFonts w:ascii="Arial" w:hAnsi="Arial" w:cs="Arial"/>
          <w:sz w:val="20"/>
          <w:szCs w:val="20"/>
        </w:rPr>
      </w:pPr>
    </w:p>
    <w:p w14:paraId="47AF519D" w14:textId="3C23AF62" w:rsidR="004771E9" w:rsidRDefault="004771E9">
      <w:pPr>
        <w:rPr>
          <w:rFonts w:ascii="Arial" w:hAnsi="Arial" w:cs="Arial"/>
          <w:sz w:val="20"/>
          <w:szCs w:val="20"/>
        </w:rPr>
      </w:pPr>
    </w:p>
    <w:p w14:paraId="064C42B4" w14:textId="400C0CC8" w:rsidR="004771E9" w:rsidRDefault="00086EA2">
      <w:pPr>
        <w:rPr>
          <w:rFonts w:ascii="Arial" w:hAnsi="Arial" w:cs="Arial"/>
          <w:sz w:val="20"/>
          <w:szCs w:val="20"/>
        </w:rPr>
      </w:pPr>
      <w:r w:rsidRPr="004771E9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EDF126" wp14:editId="55F56119">
                <wp:simplePos x="0" y="0"/>
                <wp:positionH relativeFrom="margin">
                  <wp:posOffset>2461260</wp:posOffset>
                </wp:positionH>
                <wp:positionV relativeFrom="paragraph">
                  <wp:posOffset>274320</wp:posOffset>
                </wp:positionV>
                <wp:extent cx="2956560" cy="960120"/>
                <wp:effectExtent l="0" t="0" r="15240" b="11430"/>
                <wp:wrapSquare wrapText="bothSides"/>
                <wp:docPr id="10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6560" cy="9601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5494B" w14:textId="0C421856" w:rsidR="004771E9" w:rsidRPr="004771E9" w:rsidRDefault="004771E9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4771E9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Firm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s</w:t>
                            </w:r>
                            <w:r w:rsidRPr="004771E9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identified as unhealthy are shown here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F126" id="_x0000_s1028" type="#_x0000_t202" style="position:absolute;margin-left:193.8pt;margin-top:21.6pt;width:232.8pt;height:7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" fillcolor="white [3201]" strokecolor="#ed7d31 [3205]" strokeweight="1pt">
                <v:textbox>
                  <w:txbxContent>
                    <w:p w14:paraId="66C5494B" w14:textId="0C421856" w:rsidR="004771E9" w:rsidRPr="004771E9" w:rsidRDefault="004771E9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4771E9">
                        <w:rPr>
                          <w:rFonts w:ascii="Arial Narrow" w:hAnsi="Arial Narrow"/>
                          <w:sz w:val="28"/>
                          <w:szCs w:val="28"/>
                        </w:rPr>
                        <w:t>Firm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s</w:t>
                      </w:r>
                      <w:r w:rsidRPr="004771E9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identified as unhealthy are shown here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71E9">
        <w:rPr>
          <w:noProof/>
        </w:rPr>
        <w:drawing>
          <wp:inline distT="0" distB="0" distL="0" distR="0" wp14:anchorId="65ED36A6" wp14:editId="51823F99">
            <wp:extent cx="1173480" cy="5448300"/>
            <wp:effectExtent l="133350" t="114300" r="140970" b="171450"/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607" r="93461" b="5184"/>
                    <a:stretch/>
                  </pic:blipFill>
                  <pic:spPr bwMode="auto">
                    <a:xfrm>
                      <a:off x="0" y="0"/>
                      <a:ext cx="1195496" cy="55505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EFC4E" wp14:editId="55079ACD">
            <wp:extent cx="5052060" cy="2118360"/>
            <wp:effectExtent l="0" t="0" r="15240" b="1524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949E52C3-9482-45A5-AF89-D7F2BA8458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9247FD8" w14:textId="0645D430" w:rsidR="00BD6AFB" w:rsidRPr="00086EA2" w:rsidRDefault="00086EA2">
      <w:pPr>
        <w:rPr>
          <w:rFonts w:ascii="Arial" w:hAnsi="Arial" w:cs="Arial"/>
          <w:b/>
          <w:bCs/>
          <w:sz w:val="20"/>
          <w:szCs w:val="20"/>
        </w:rPr>
      </w:pPr>
      <w:r w:rsidRPr="00086EA2">
        <w:rPr>
          <w:rFonts w:ascii="Arial" w:hAnsi="Arial" w:cs="Arial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FE9E6E4" wp14:editId="6B3316B0">
                <wp:simplePos x="0" y="0"/>
                <wp:positionH relativeFrom="page">
                  <wp:posOffset>2865120</wp:posOffset>
                </wp:positionH>
                <wp:positionV relativeFrom="paragraph">
                  <wp:posOffset>274320</wp:posOffset>
                </wp:positionV>
                <wp:extent cx="3390900" cy="1404620"/>
                <wp:effectExtent l="0" t="0" r="19050" b="120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44375" w14:textId="675F5335" w:rsidR="00086EA2" w:rsidRPr="00086EA2" w:rsidRDefault="00086EA2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086EA2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Firms identified as healthy are reflected here</w:t>
                            </w:r>
                            <w:r w:rsidRPr="00086EA2">
                              <w:rPr>
                                <w:rFonts w:ascii="Arial Narrow" w:hAnsi="Arial Narro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9E6E4" id="_x0000_s1029" type="#_x0000_t202" style="position:absolute;margin-left:225.6pt;margin-top:21.6pt;width:26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" fillcolor="white [3201]" strokecolor="#ed7d31 [3205]" strokeweight="1pt">
                <v:textbox style="mso-fit-shape-to-text:t">
                  <w:txbxContent>
                    <w:p w14:paraId="2C144375" w14:textId="675F5335" w:rsidR="00086EA2" w:rsidRPr="00086EA2" w:rsidRDefault="00086EA2">
                      <w:pPr>
                        <w:rPr>
                          <w:rFonts w:ascii="Arial Narrow" w:hAnsi="Arial Narrow"/>
                        </w:rPr>
                      </w:pPr>
                      <w:r w:rsidRPr="00086EA2">
                        <w:rPr>
                          <w:rFonts w:ascii="Arial Narrow" w:hAnsi="Arial Narrow"/>
                          <w:sz w:val="28"/>
                          <w:szCs w:val="28"/>
                        </w:rPr>
                        <w:t>Firms identified as healthy are reflected here</w:t>
                      </w:r>
                      <w:r w:rsidRPr="00086EA2">
                        <w:rPr>
                          <w:rFonts w:ascii="Arial Narrow" w:hAnsi="Arial Narrow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43A821" wp14:editId="09DD8394">
            <wp:extent cx="982980" cy="5692140"/>
            <wp:effectExtent l="133350" t="114300" r="121920" b="1562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821" t="31543" r="69999" b="7639"/>
                    <a:stretch/>
                  </pic:blipFill>
                  <pic:spPr bwMode="auto">
                    <a:xfrm>
                      <a:off x="0" y="0"/>
                      <a:ext cx="982980" cy="5692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8DD3F" wp14:editId="121EA704">
            <wp:extent cx="4343400" cy="2125980"/>
            <wp:effectExtent l="0" t="0" r="0" b="762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611B3750-8B54-4A62-880B-4CAD122E8F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0D65C28" w14:textId="33F384FC" w:rsidR="00BD6AFB" w:rsidRDefault="00086EA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**** We would normally add a Debt to Equity ratio if the information was given, but it is not. Otherwise these two ratios are some of the most relevant in predicting bankruptcy. </w:t>
      </w:r>
    </w:p>
    <w:p w14:paraId="1B0724A5" w14:textId="7C15828A" w:rsidR="00BD6AFB" w:rsidRDefault="00BD6AFB">
      <w:pPr>
        <w:rPr>
          <w:rFonts w:ascii="Arial" w:hAnsi="Arial" w:cs="Arial"/>
          <w:sz w:val="20"/>
          <w:szCs w:val="20"/>
        </w:rPr>
      </w:pPr>
    </w:p>
    <w:p w14:paraId="603DD59A" w14:textId="3F385D52" w:rsidR="00BD6AFB" w:rsidRDefault="00BD6AFB">
      <w:pPr>
        <w:rPr>
          <w:rFonts w:ascii="Arial" w:hAnsi="Arial" w:cs="Arial"/>
          <w:sz w:val="20"/>
          <w:szCs w:val="20"/>
        </w:rPr>
      </w:pPr>
    </w:p>
    <w:p w14:paraId="7060ED99" w14:textId="51880C7A" w:rsidR="00BD6AFB" w:rsidRDefault="00BD6AFB">
      <w:pPr>
        <w:rPr>
          <w:rFonts w:ascii="Arial" w:hAnsi="Arial" w:cs="Arial"/>
          <w:sz w:val="20"/>
          <w:szCs w:val="20"/>
        </w:rPr>
      </w:pPr>
    </w:p>
    <w:p w14:paraId="6B5394EF" w14:textId="00859541" w:rsidR="00BD6AFB" w:rsidRDefault="00BD6AFB">
      <w:pPr>
        <w:rPr>
          <w:rFonts w:ascii="Arial" w:hAnsi="Arial" w:cs="Arial"/>
          <w:sz w:val="20"/>
          <w:szCs w:val="20"/>
        </w:rPr>
      </w:pPr>
    </w:p>
    <w:p w14:paraId="1FBB9EFB" w14:textId="6229845C" w:rsidR="00BD6AFB" w:rsidRDefault="00BD6AFB">
      <w:pPr>
        <w:rPr>
          <w:rFonts w:ascii="Arial" w:hAnsi="Arial" w:cs="Arial"/>
          <w:sz w:val="20"/>
          <w:szCs w:val="20"/>
        </w:rPr>
      </w:pPr>
    </w:p>
    <w:p w14:paraId="4192AE4E" w14:textId="35A3D73C" w:rsidR="00B27D9A" w:rsidRDefault="00B27D9A">
      <w:pPr>
        <w:rPr>
          <w:rFonts w:ascii="Arial" w:hAnsi="Arial" w:cs="Arial"/>
          <w:sz w:val="20"/>
          <w:szCs w:val="20"/>
        </w:rPr>
      </w:pPr>
    </w:p>
    <w:p w14:paraId="4C59D2ED" w14:textId="77777777" w:rsidR="00B27D9A" w:rsidRPr="001321D9" w:rsidRDefault="00B27D9A">
      <w:pPr>
        <w:rPr>
          <w:rFonts w:ascii="Arial" w:hAnsi="Arial" w:cs="Arial"/>
          <w:sz w:val="20"/>
          <w:szCs w:val="20"/>
        </w:rPr>
      </w:pPr>
    </w:p>
    <w:sectPr w:rsidR="00B27D9A" w:rsidRPr="00132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0E5D3" w14:textId="77777777" w:rsidR="008D4B21" w:rsidRDefault="008D4B21" w:rsidP="00A26885">
      <w:pPr>
        <w:spacing w:after="0" w:line="240" w:lineRule="auto"/>
      </w:pPr>
      <w:r>
        <w:separator/>
      </w:r>
    </w:p>
  </w:endnote>
  <w:endnote w:type="continuationSeparator" w:id="0">
    <w:p w14:paraId="766AA34E" w14:textId="77777777" w:rsidR="008D4B21" w:rsidRDefault="008D4B21" w:rsidP="00A26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A8FDA" w14:textId="77777777" w:rsidR="008D4B21" w:rsidRDefault="008D4B21" w:rsidP="00A26885">
      <w:pPr>
        <w:spacing w:after="0" w:line="240" w:lineRule="auto"/>
      </w:pPr>
      <w:r>
        <w:separator/>
      </w:r>
    </w:p>
  </w:footnote>
  <w:footnote w:type="continuationSeparator" w:id="0">
    <w:p w14:paraId="18C04AA6" w14:textId="77777777" w:rsidR="008D4B21" w:rsidRDefault="008D4B21" w:rsidP="00A268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6E"/>
    <w:rsid w:val="00086EA2"/>
    <w:rsid w:val="001321D9"/>
    <w:rsid w:val="001332D7"/>
    <w:rsid w:val="00195F07"/>
    <w:rsid w:val="00217B52"/>
    <w:rsid w:val="004771E9"/>
    <w:rsid w:val="006F6515"/>
    <w:rsid w:val="00777C3E"/>
    <w:rsid w:val="008830BB"/>
    <w:rsid w:val="008D4B21"/>
    <w:rsid w:val="009E2E3E"/>
    <w:rsid w:val="00A1566E"/>
    <w:rsid w:val="00A26885"/>
    <w:rsid w:val="00B27D9A"/>
    <w:rsid w:val="00BD6AFB"/>
    <w:rsid w:val="00CF513F"/>
    <w:rsid w:val="00E67EBC"/>
    <w:rsid w:val="00E735B0"/>
    <w:rsid w:val="00E7705B"/>
    <w:rsid w:val="00FB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0F5F"/>
  <w15:chartTrackingRefBased/>
  <w15:docId w15:val="{032F6F8C-8608-45A8-A219-91F5037D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885"/>
  </w:style>
  <w:style w:type="paragraph" w:styleId="Footer">
    <w:name w:val="footer"/>
    <w:basedOn w:val="Normal"/>
    <w:link w:val="FooterChar"/>
    <w:uiPriority w:val="99"/>
    <w:unhideWhenUsed/>
    <w:rsid w:val="00A26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8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0312d7eaca34095/Documents/Copy%20of%202020Spring_CST498_Lec02_Group_and_Project_Selection_IT_Case_study_3_Predicting_bankrupcy_Bankruptcy%20(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0312d7eaca34095/Documents/Copy%20of%202020Spring_CST498_Lec02_Group_and_Project_Selection_IT_Case_study_3_Predicting_bankrupcy_Bankruptcy%20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0312d7eaca34095/Documents/Copy%20of%202020Spring_CST498_Lec02_Group_and_Project_Selection_IT_Case_study_3_Predicting_bankrupcy_Bankruptcy%20(1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0312d7eaca34095/Documents/Copy%20of%202020Spring_CST498_Lec02_Group_and_Project_Selection_IT_Case_study_3_Predicting_bankrupcy_Bankruptcy%20(1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'[Copy of 2020Spring_CST498_Lec02_Group_and_Project_Selection_IT_Case_study_3_Predicting_bankrupcy_Bankruptcy (1).xlsx]Sheet3'!$A$1</c:f>
              <c:strCache>
                <c:ptCount val="1"/>
                <c:pt idx="0">
                  <c:v>R9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'[Copy of 2020Spring_CST498_Lec02_Group_and_Project_Selection_IT_Case_study_3_Predicting_bankrupcy_Bankruptcy (1).xlsx]Sheet3'!$A$2:$A$67</c:f>
              <c:numCache>
                <c:formatCode>General</c:formatCode>
                <c:ptCount val="66"/>
                <c:pt idx="0">
                  <c:v>6.22</c:v>
                </c:pt>
                <c:pt idx="1">
                  <c:v>1.57</c:v>
                </c:pt>
                <c:pt idx="2">
                  <c:v>3.25</c:v>
                </c:pt>
                <c:pt idx="3">
                  <c:v>3.35</c:v>
                </c:pt>
                <c:pt idx="4">
                  <c:v>2.21</c:v>
                </c:pt>
                <c:pt idx="5">
                  <c:v>2.0099999999999998</c:v>
                </c:pt>
                <c:pt idx="6">
                  <c:v>0.57999999999999996</c:v>
                </c:pt>
                <c:pt idx="7">
                  <c:v>2.4900000000000002</c:v>
                </c:pt>
                <c:pt idx="8">
                  <c:v>2.74</c:v>
                </c:pt>
                <c:pt idx="9">
                  <c:v>2</c:v>
                </c:pt>
                <c:pt idx="10">
                  <c:v>2.93</c:v>
                </c:pt>
                <c:pt idx="11">
                  <c:v>2.62</c:v>
                </c:pt>
                <c:pt idx="12">
                  <c:v>1.64</c:v>
                </c:pt>
                <c:pt idx="13">
                  <c:v>3.98</c:v>
                </c:pt>
                <c:pt idx="14">
                  <c:v>3.54</c:v>
                </c:pt>
                <c:pt idx="15">
                  <c:v>1.35</c:v>
                </c:pt>
                <c:pt idx="16">
                  <c:v>3.25</c:v>
                </c:pt>
                <c:pt idx="17">
                  <c:v>1.61</c:v>
                </c:pt>
                <c:pt idx="18">
                  <c:v>2.77</c:v>
                </c:pt>
                <c:pt idx="19">
                  <c:v>2.12</c:v>
                </c:pt>
                <c:pt idx="20">
                  <c:v>3.47</c:v>
                </c:pt>
                <c:pt idx="21">
                  <c:v>1.02</c:v>
                </c:pt>
                <c:pt idx="22">
                  <c:v>1.36</c:v>
                </c:pt>
                <c:pt idx="23">
                  <c:v>1</c:v>
                </c:pt>
                <c:pt idx="24">
                  <c:v>3.33</c:v>
                </c:pt>
                <c:pt idx="25">
                  <c:v>3.14</c:v>
                </c:pt>
                <c:pt idx="26">
                  <c:v>4.16</c:v>
                </c:pt>
                <c:pt idx="27">
                  <c:v>2.16</c:v>
                </c:pt>
                <c:pt idx="28">
                  <c:v>2</c:v>
                </c:pt>
                <c:pt idx="29">
                  <c:v>0.68</c:v>
                </c:pt>
                <c:pt idx="30">
                  <c:v>2.36</c:v>
                </c:pt>
                <c:pt idx="31">
                  <c:v>1.1399999999999999</c:v>
                </c:pt>
                <c:pt idx="32">
                  <c:v>2.11</c:v>
                </c:pt>
                <c:pt idx="33">
                  <c:v>9.48</c:v>
                </c:pt>
                <c:pt idx="34">
                  <c:v>2.17</c:v>
                </c:pt>
                <c:pt idx="35">
                  <c:v>3.18</c:v>
                </c:pt>
                <c:pt idx="36">
                  <c:v>4.95</c:v>
                </c:pt>
                <c:pt idx="37">
                  <c:v>4.6399999999999997</c:v>
                </c:pt>
                <c:pt idx="38">
                  <c:v>1.83</c:v>
                </c:pt>
                <c:pt idx="39">
                  <c:v>2.23</c:v>
                </c:pt>
                <c:pt idx="40">
                  <c:v>2.91</c:v>
                </c:pt>
                <c:pt idx="41">
                  <c:v>1.37</c:v>
                </c:pt>
                <c:pt idx="42">
                  <c:v>2.2200000000000002</c:v>
                </c:pt>
                <c:pt idx="43">
                  <c:v>1.5</c:v>
                </c:pt>
                <c:pt idx="44">
                  <c:v>2.5499999999999998</c:v>
                </c:pt>
                <c:pt idx="45">
                  <c:v>1.47</c:v>
                </c:pt>
                <c:pt idx="46">
                  <c:v>1.36</c:v>
                </c:pt>
                <c:pt idx="47">
                  <c:v>2.11</c:v>
                </c:pt>
                <c:pt idx="48">
                  <c:v>1.98</c:v>
                </c:pt>
                <c:pt idx="49">
                  <c:v>1.23</c:v>
                </c:pt>
                <c:pt idx="50">
                  <c:v>1.81</c:v>
                </c:pt>
                <c:pt idx="51">
                  <c:v>2.74</c:v>
                </c:pt>
                <c:pt idx="52">
                  <c:v>2</c:v>
                </c:pt>
                <c:pt idx="53">
                  <c:v>2.7</c:v>
                </c:pt>
                <c:pt idx="54">
                  <c:v>2.76</c:v>
                </c:pt>
                <c:pt idx="55">
                  <c:v>1.96</c:v>
                </c:pt>
                <c:pt idx="56">
                  <c:v>1.64</c:v>
                </c:pt>
                <c:pt idx="57">
                  <c:v>1.41</c:v>
                </c:pt>
                <c:pt idx="58">
                  <c:v>1.1599999999999999</c:v>
                </c:pt>
                <c:pt idx="59">
                  <c:v>3.02</c:v>
                </c:pt>
                <c:pt idx="60">
                  <c:v>4.12</c:v>
                </c:pt>
                <c:pt idx="61">
                  <c:v>2.2400000000000002</c:v>
                </c:pt>
                <c:pt idx="62">
                  <c:v>5.44</c:v>
                </c:pt>
                <c:pt idx="63">
                  <c:v>2.41</c:v>
                </c:pt>
                <c:pt idx="64">
                  <c:v>1.57</c:v>
                </c:pt>
                <c:pt idx="65">
                  <c:v>1.57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B2-4242-9033-548C8920EC6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70087167"/>
        <c:axId val="1943193551"/>
      </c:lineChart>
      <c:catAx>
        <c:axId val="197008716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3193551"/>
        <c:crosses val="autoZero"/>
        <c:auto val="1"/>
        <c:lblAlgn val="ctr"/>
        <c:lblOffset val="100"/>
        <c:noMultiLvlLbl val="0"/>
      </c:catAx>
      <c:valAx>
        <c:axId val="1943193551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0087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'[Copy of 2020Spring_CST498_Lec02_Group_and_Project_Selection_IT_Case_study_3_Predicting_bankrupcy_Bankruptcy (1).xlsx]Sheet3'!$G$1:$G$18</c:f>
              <c:strCache>
                <c:ptCount val="18"/>
                <c:pt idx="0">
                  <c:v>R9</c:v>
                </c:pt>
                <c:pt idx="1">
                  <c:v>1.17</c:v>
                </c:pt>
                <c:pt idx="2">
                  <c:v>1.73</c:v>
                </c:pt>
                <c:pt idx="3">
                  <c:v>1.36</c:v>
                </c:pt>
                <c:pt idx="4">
                  <c:v>1.13</c:v>
                </c:pt>
                <c:pt idx="5">
                  <c:v>1.88</c:v>
                </c:pt>
                <c:pt idx="6">
                  <c:v>1.37</c:v>
                </c:pt>
                <c:pt idx="7">
                  <c:v>0.82</c:v>
                </c:pt>
                <c:pt idx="8">
                  <c:v>1.17</c:v>
                </c:pt>
                <c:pt idx="9">
                  <c:v>1.64</c:v>
                </c:pt>
                <c:pt idx="10">
                  <c:v>1.58</c:v>
                </c:pt>
                <c:pt idx="11">
                  <c:v>0.83</c:v>
                </c:pt>
                <c:pt idx="12">
                  <c:v>1.73</c:v>
                </c:pt>
                <c:pt idx="13">
                  <c:v>1.82</c:v>
                </c:pt>
                <c:pt idx="14">
                  <c:v>1.3</c:v>
                </c:pt>
                <c:pt idx="15">
                  <c:v>1.28</c:v>
                </c:pt>
                <c:pt idx="16">
                  <c:v>1.47</c:v>
                </c:pt>
                <c:pt idx="17">
                  <c:v> 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'[Copy of 2020Spring_CST498_Lec02_Group_and_Project_Selection_IT_Case_study_3_Predicting_bankrupcy_Bankruptcy (1).xlsx]Sheet3'!$G$19:$G$67</c:f>
              <c:numCache>
                <c:formatCode>General</c:formatCode>
                <c:ptCount val="49"/>
                <c:pt idx="0">
                  <c:v>1.39</c:v>
                </c:pt>
                <c:pt idx="1">
                  <c:v>1.48</c:v>
                </c:pt>
                <c:pt idx="2">
                  <c:v>1.6</c:v>
                </c:pt>
                <c:pt idx="3">
                  <c:v>1.42</c:v>
                </c:pt>
                <c:pt idx="4">
                  <c:v>1.1100000000000001</c:v>
                </c:pt>
                <c:pt idx="5">
                  <c:v>1.5</c:v>
                </c:pt>
                <c:pt idx="6">
                  <c:v>0.84</c:v>
                </c:pt>
                <c:pt idx="7">
                  <c:v>0.65</c:v>
                </c:pt>
                <c:pt idx="8">
                  <c:v>1.08</c:v>
                </c:pt>
                <c:pt idx="9">
                  <c:v>1.01</c:v>
                </c:pt>
                <c:pt idx="10">
                  <c:v>1.34</c:v>
                </c:pt>
                <c:pt idx="11">
                  <c:v>3.3</c:v>
                </c:pt>
                <c:pt idx="12">
                  <c:v>1.37</c:v>
                </c:pt>
                <c:pt idx="13">
                  <c:v>2.38</c:v>
                </c:pt>
                <c:pt idx="14">
                  <c:v>0.96</c:v>
                </c:pt>
                <c:pt idx="15">
                  <c:v>1.19</c:v>
                </c:pt>
                <c:pt idx="16">
                  <c:v>1.53</c:v>
                </c:pt>
                <c:pt idx="17">
                  <c:v>1.45</c:v>
                </c:pt>
                <c:pt idx="18">
                  <c:v>1.56</c:v>
                </c:pt>
                <c:pt idx="19">
                  <c:v>1.31</c:v>
                </c:pt>
                <c:pt idx="20">
                  <c:v>1.56</c:v>
                </c:pt>
                <c:pt idx="21">
                  <c:v>1.02</c:v>
                </c:pt>
                <c:pt idx="22">
                  <c:v>2.0499999999999998</c:v>
                </c:pt>
                <c:pt idx="23">
                  <c:v>1.58</c:v>
                </c:pt>
                <c:pt idx="24">
                  <c:v>1.1599999999999999</c:v>
                </c:pt>
                <c:pt idx="25">
                  <c:v>1.1000000000000001</c:v>
                </c:pt>
                <c:pt idx="26">
                  <c:v>0.27</c:v>
                </c:pt>
                <c:pt idx="27">
                  <c:v>1.45</c:v>
                </c:pt>
                <c:pt idx="28">
                  <c:v>1.6</c:v>
                </c:pt>
                <c:pt idx="29">
                  <c:v>1.43</c:v>
                </c:pt>
                <c:pt idx="30">
                  <c:v>1.88</c:v>
                </c:pt>
                <c:pt idx="31">
                  <c:v>1.48</c:v>
                </c:pt>
                <c:pt idx="32">
                  <c:v>1.58</c:v>
                </c:pt>
                <c:pt idx="33">
                  <c:v>1.1000000000000001</c:v>
                </c:pt>
                <c:pt idx="34">
                  <c:v>1.58</c:v>
                </c:pt>
                <c:pt idx="35">
                  <c:v>1.81</c:v>
                </c:pt>
                <c:pt idx="36">
                  <c:v>1.49</c:v>
                </c:pt>
                <c:pt idx="37">
                  <c:v>1.36</c:v>
                </c:pt>
                <c:pt idx="38">
                  <c:v>1.6</c:v>
                </c:pt>
                <c:pt idx="39">
                  <c:v>1.3</c:v>
                </c:pt>
                <c:pt idx="40">
                  <c:v>1.74</c:v>
                </c:pt>
                <c:pt idx="41">
                  <c:v>0.89</c:v>
                </c:pt>
                <c:pt idx="42">
                  <c:v>1.89</c:v>
                </c:pt>
                <c:pt idx="43">
                  <c:v>0.82</c:v>
                </c:pt>
                <c:pt idx="44">
                  <c:v>1.17</c:v>
                </c:pt>
                <c:pt idx="45">
                  <c:v>1.63</c:v>
                </c:pt>
                <c:pt idx="46">
                  <c:v>1.25</c:v>
                </c:pt>
                <c:pt idx="47">
                  <c:v>1.1299999999999999</c:v>
                </c:pt>
                <c:pt idx="48">
                  <c:v>1.36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AF-482F-8F0C-2E27E7CA99B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624623"/>
        <c:axId val="1753257327"/>
      </c:lineChart>
      <c:catAx>
        <c:axId val="3624623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3257327"/>
        <c:crosses val="autoZero"/>
        <c:auto val="1"/>
        <c:lblAlgn val="ctr"/>
        <c:lblOffset val="100"/>
        <c:noMultiLvlLbl val="0"/>
      </c:catAx>
      <c:valAx>
        <c:axId val="1753257327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246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9587672508678353E-2"/>
          <c:y val="2.1174863387978297E-3"/>
          <c:w val="0.9090157154673284"/>
          <c:h val="0.66318306010928962"/>
        </c:manualLayout>
      </c:layout>
      <c:lineChart>
        <c:grouping val="stacked"/>
        <c:varyColors val="0"/>
        <c:ser>
          <c:idx val="0"/>
          <c:order val="0"/>
          <c:tx>
            <c:strRef>
              <c:f>'[Copy of 2020Spring_CST498_Lec02_Group_and_Project_Selection_IT_Case_study_3_Predicting_bankrupcy_Bankruptcy (1).xlsx]Sheet7'!$A$1</c:f>
              <c:strCache>
                <c:ptCount val="1"/>
                <c:pt idx="0">
                  <c:v>R7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dLbl>
              <c:idx val="57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294-43B3-B2AF-BC931ACA530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'[Copy of 2020Spring_CST498_Lec02_Group_and_Project_Selection_IT_Case_study_3_Predicting_bankrupcy_Bankruptcy (1).xlsx]Sheet7'!$A$2:$A$134</c:f>
              <c:numCache>
                <c:formatCode>General</c:formatCode>
                <c:ptCount val="133"/>
                <c:pt idx="0">
                  <c:v>0.19</c:v>
                </c:pt>
                <c:pt idx="1">
                  <c:v>0.03</c:v>
                </c:pt>
                <c:pt idx="2">
                  <c:v>0.14000000000000001</c:v>
                </c:pt>
                <c:pt idx="3">
                  <c:v>0.06</c:v>
                </c:pt>
                <c:pt idx="4">
                  <c:v>0.11</c:v>
                </c:pt>
                <c:pt idx="5">
                  <c:v>0.28999999999999998</c:v>
                </c:pt>
                <c:pt idx="6">
                  <c:v>0.21</c:v>
                </c:pt>
                <c:pt idx="7">
                  <c:v>-0.09</c:v>
                </c:pt>
                <c:pt idx="8">
                  <c:v>0.11</c:v>
                </c:pt>
                <c:pt idx="9">
                  <c:v>0.03</c:v>
                </c:pt>
                <c:pt idx="10">
                  <c:v>0.04</c:v>
                </c:pt>
                <c:pt idx="11">
                  <c:v>-0.13</c:v>
                </c:pt>
                <c:pt idx="12">
                  <c:v>-0.03</c:v>
                </c:pt>
                <c:pt idx="13">
                  <c:v>-0.02</c:v>
                </c:pt>
                <c:pt idx="14">
                  <c:v>-0.2</c:v>
                </c:pt>
                <c:pt idx="15">
                  <c:v>-0.03</c:v>
                </c:pt>
                <c:pt idx="16">
                  <c:v>0.04</c:v>
                </c:pt>
                <c:pt idx="17">
                  <c:v>0.05</c:v>
                </c:pt>
                <c:pt idx="18">
                  <c:v>0.11</c:v>
                </c:pt>
                <c:pt idx="19">
                  <c:v>0.02</c:v>
                </c:pt>
                <c:pt idx="20">
                  <c:v>-0.22</c:v>
                </c:pt>
                <c:pt idx="21">
                  <c:v>0.03</c:v>
                </c:pt>
                <c:pt idx="22">
                  <c:v>0.04</c:v>
                </c:pt>
                <c:pt idx="23">
                  <c:v>7.0000000000000007E-2</c:v>
                </c:pt>
                <c:pt idx="24">
                  <c:v>-0.03</c:v>
                </c:pt>
                <c:pt idx="25">
                  <c:v>-0.02</c:v>
                </c:pt>
                <c:pt idx="26">
                  <c:v>0.01</c:v>
                </c:pt>
                <c:pt idx="27">
                  <c:v>0.03</c:v>
                </c:pt>
                <c:pt idx="28">
                  <c:v>-0.01</c:v>
                </c:pt>
                <c:pt idx="29">
                  <c:v>-0.04</c:v>
                </c:pt>
                <c:pt idx="30">
                  <c:v>0.23</c:v>
                </c:pt>
                <c:pt idx="31">
                  <c:v>0.06</c:v>
                </c:pt>
                <c:pt idx="32">
                  <c:v>0.06</c:v>
                </c:pt>
                <c:pt idx="33">
                  <c:v>-0.02</c:v>
                </c:pt>
                <c:pt idx="34">
                  <c:v>0.14000000000000001</c:v>
                </c:pt>
                <c:pt idx="35">
                  <c:v>0.03</c:v>
                </c:pt>
                <c:pt idx="36">
                  <c:v>0.3</c:v>
                </c:pt>
                <c:pt idx="37">
                  <c:v>0.21</c:v>
                </c:pt>
                <c:pt idx="38">
                  <c:v>0.04</c:v>
                </c:pt>
                <c:pt idx="39">
                  <c:v>0.02</c:v>
                </c:pt>
                <c:pt idx="40">
                  <c:v>0.08</c:v>
                </c:pt>
                <c:pt idx="41">
                  <c:v>0.27</c:v>
                </c:pt>
                <c:pt idx="42">
                  <c:v>-0.1</c:v>
                </c:pt>
                <c:pt idx="43">
                  <c:v>-0.3</c:v>
                </c:pt>
                <c:pt idx="44">
                  <c:v>0.27</c:v>
                </c:pt>
                <c:pt idx="45">
                  <c:v>0.11</c:v>
                </c:pt>
                <c:pt idx="46">
                  <c:v>0.05</c:v>
                </c:pt>
                <c:pt idx="47">
                  <c:v>0.06</c:v>
                </c:pt>
                <c:pt idx="48">
                  <c:v>0.02</c:v>
                </c:pt>
                <c:pt idx="49">
                  <c:v>-0.13</c:v>
                </c:pt>
                <c:pt idx="50">
                  <c:v>0.06</c:v>
                </c:pt>
                <c:pt idx="51">
                  <c:v>0.17</c:v>
                </c:pt>
                <c:pt idx="52">
                  <c:v>0.03</c:v>
                </c:pt>
                <c:pt idx="53">
                  <c:v>-0.1</c:v>
                </c:pt>
                <c:pt idx="54">
                  <c:v>0.03</c:v>
                </c:pt>
                <c:pt idx="55">
                  <c:v>-0.02</c:v>
                </c:pt>
                <c:pt idx="56">
                  <c:v>-0.11</c:v>
                </c:pt>
                <c:pt idx="57">
                  <c:v>0.68</c:v>
                </c:pt>
                <c:pt idx="58">
                  <c:v>0.16</c:v>
                </c:pt>
                <c:pt idx="59">
                  <c:v>-0.06</c:v>
                </c:pt>
                <c:pt idx="60">
                  <c:v>0.22</c:v>
                </c:pt>
                <c:pt idx="61">
                  <c:v>-0.02</c:v>
                </c:pt>
                <c:pt idx="62">
                  <c:v>0.01</c:v>
                </c:pt>
                <c:pt idx="63">
                  <c:v>0.03</c:v>
                </c:pt>
                <c:pt idx="64">
                  <c:v>-0.12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94-43B3-B2AF-BC931ACA530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74929087"/>
        <c:axId val="1753387951"/>
      </c:lineChart>
      <c:catAx>
        <c:axId val="1974929087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3387951"/>
        <c:crosses val="autoZero"/>
        <c:auto val="1"/>
        <c:lblAlgn val="ctr"/>
        <c:lblOffset val="100"/>
        <c:noMultiLvlLbl val="0"/>
      </c:catAx>
      <c:valAx>
        <c:axId val="1753387951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49290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'[Copy of 2020Spring_CST498_Lec02_Group_and_Project_Selection_IT_Case_study_3_Predicting_bankrupcy_Bankruptcy (1).xlsx]Sheet7'!$C$1:$C$68</c:f>
              <c:numCache>
                <c:formatCode>General</c:formatCode>
                <c:ptCount val="68"/>
                <c:pt idx="0">
                  <c:v>0.15</c:v>
                </c:pt>
                <c:pt idx="1">
                  <c:v>0.48</c:v>
                </c:pt>
                <c:pt idx="2">
                  <c:v>0.01</c:v>
                </c:pt>
                <c:pt idx="3">
                  <c:v>0.46</c:v>
                </c:pt>
                <c:pt idx="4">
                  <c:v>-0.06</c:v>
                </c:pt>
                <c:pt idx="5">
                  <c:v>0.09</c:v>
                </c:pt>
                <c:pt idx="6">
                  <c:v>0.42</c:v>
                </c:pt>
                <c:pt idx="7">
                  <c:v>0.35</c:v>
                </c:pt>
                <c:pt idx="8">
                  <c:v>0.08</c:v>
                </c:pt>
                <c:pt idx="9">
                  <c:v>0.06</c:v>
                </c:pt>
                <c:pt idx="10">
                  <c:v>0.16</c:v>
                </c:pt>
                <c:pt idx="11">
                  <c:v>-0.61</c:v>
                </c:pt>
                <c:pt idx="12">
                  <c:v>0.08</c:v>
                </c:pt>
                <c:pt idx="13">
                  <c:v>0.14000000000000001</c:v>
                </c:pt>
                <c:pt idx="14">
                  <c:v>0.23</c:v>
                </c:pt>
                <c:pt idx="15">
                  <c:v>0.47</c:v>
                </c:pt>
                <c:pt idx="16">
                  <c:v>0.13</c:v>
                </c:pt>
                <c:pt idx="17">
                  <c:v>0.25</c:v>
                </c:pt>
                <c:pt idx="18">
                  <c:v>0.21</c:v>
                </c:pt>
                <c:pt idx="19">
                  <c:v>0.19</c:v>
                </c:pt>
                <c:pt idx="20">
                  <c:v>0.09</c:v>
                </c:pt>
                <c:pt idx="21">
                  <c:v>0.23</c:v>
                </c:pt>
                <c:pt idx="22">
                  <c:v>-0.05</c:v>
                </c:pt>
                <c:pt idx="23">
                  <c:v>0.28999999999999998</c:v>
                </c:pt>
                <c:pt idx="24">
                  <c:v>0.28000000000000003</c:v>
                </c:pt>
                <c:pt idx="25">
                  <c:v>-0.5</c:v>
                </c:pt>
                <c:pt idx="26">
                  <c:v>0.35</c:v>
                </c:pt>
                <c:pt idx="27">
                  <c:v>-0.3</c:v>
                </c:pt>
                <c:pt idx="28">
                  <c:v>7.0000000000000007E-2</c:v>
                </c:pt>
                <c:pt idx="29">
                  <c:v>0.42</c:v>
                </c:pt>
                <c:pt idx="30">
                  <c:v>0.1</c:v>
                </c:pt>
                <c:pt idx="31">
                  <c:v>0.4</c:v>
                </c:pt>
                <c:pt idx="32">
                  <c:v>0.35</c:v>
                </c:pt>
                <c:pt idx="33">
                  <c:v>0.4</c:v>
                </c:pt>
                <c:pt idx="34">
                  <c:v>1.1599999999999999</c:v>
                </c:pt>
                <c:pt idx="35">
                  <c:v>0.19</c:v>
                </c:pt>
                <c:pt idx="36">
                  <c:v>0.04</c:v>
                </c:pt>
                <c:pt idx="37">
                  <c:v>0.1</c:v>
                </c:pt>
                <c:pt idx="38">
                  <c:v>0.96</c:v>
                </c:pt>
                <c:pt idx="39">
                  <c:v>0.24</c:v>
                </c:pt>
                <c:pt idx="40">
                  <c:v>0.09</c:v>
                </c:pt>
                <c:pt idx="41">
                  <c:v>0.23</c:v>
                </c:pt>
                <c:pt idx="42">
                  <c:v>0.5</c:v>
                </c:pt>
                <c:pt idx="43">
                  <c:v>0.2</c:v>
                </c:pt>
                <c:pt idx="44">
                  <c:v>-0.1</c:v>
                </c:pt>
                <c:pt idx="45">
                  <c:v>0.11</c:v>
                </c:pt>
                <c:pt idx="46">
                  <c:v>0.09</c:v>
                </c:pt>
                <c:pt idx="47">
                  <c:v>0.43</c:v>
                </c:pt>
                <c:pt idx="48">
                  <c:v>0.03</c:v>
                </c:pt>
                <c:pt idx="49">
                  <c:v>0.08</c:v>
                </c:pt>
                <c:pt idx="50">
                  <c:v>0.2</c:v>
                </c:pt>
                <c:pt idx="51">
                  <c:v>0.14000000000000001</c:v>
                </c:pt>
                <c:pt idx="52">
                  <c:v>0.38</c:v>
                </c:pt>
                <c:pt idx="53">
                  <c:v>0.14000000000000001</c:v>
                </c:pt>
                <c:pt idx="54">
                  <c:v>0.09</c:v>
                </c:pt>
                <c:pt idx="55">
                  <c:v>0.11</c:v>
                </c:pt>
                <c:pt idx="56">
                  <c:v>0.19</c:v>
                </c:pt>
                <c:pt idx="57">
                  <c:v>-0.01</c:v>
                </c:pt>
                <c:pt idx="58">
                  <c:v>0.14000000000000001</c:v>
                </c:pt>
                <c:pt idx="59">
                  <c:v>0.03</c:v>
                </c:pt>
                <c:pt idx="60">
                  <c:v>0.48</c:v>
                </c:pt>
                <c:pt idx="61">
                  <c:v>0.2</c:v>
                </c:pt>
                <c:pt idx="62">
                  <c:v>0.26</c:v>
                </c:pt>
                <c:pt idx="63">
                  <c:v>0.16</c:v>
                </c:pt>
                <c:pt idx="64">
                  <c:v>0.15</c:v>
                </c:pt>
                <c:pt idx="65">
                  <c:v>0.14000000000000001</c:v>
                </c:pt>
                <c:pt idx="66">
                  <c:v>0.01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1CB-40B8-A263-962D7F66415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702051039"/>
        <c:axId val="699761439"/>
      </c:lineChart>
      <c:catAx>
        <c:axId val="70205103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9761439"/>
        <c:crosses val="autoZero"/>
        <c:auto val="1"/>
        <c:lblAlgn val="ctr"/>
        <c:lblOffset val="100"/>
        <c:noMultiLvlLbl val="0"/>
      </c:catAx>
      <c:valAx>
        <c:axId val="69976143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205103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4T02:52:19.1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07C60-CBBB-4075-826F-3A76A02E6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Murrill</dc:creator>
  <cp:keywords/>
  <dc:description/>
  <cp:lastModifiedBy>Violetta Maj</cp:lastModifiedBy>
  <cp:revision>2</cp:revision>
  <dcterms:created xsi:type="dcterms:W3CDTF">2020-04-23T13:05:00Z</dcterms:created>
  <dcterms:modified xsi:type="dcterms:W3CDTF">2020-04-23T13:05:00Z</dcterms:modified>
</cp:coreProperties>
</file>