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45.png" ContentType="image/png"/>
  <Override PartName="/word/media/rId25.png" ContentType="image/png"/>
  <Override PartName="/word/media/rId24.png" ContentType="image/png"/>
  <Override PartName="/word/media/rId26.png" ContentType="image/png"/>
  <Override PartName="/word/media/rId23.png" ContentType="image/png"/>
  <Override PartName="/word/media/rId41.png" ContentType="image/png"/>
  <Override PartName="/word/media/rId40.png" ContentType="image/png"/>
  <Override PartName="/word/media/rId43.png" ContentType="image/png"/>
  <Override PartName="/word/media/rId31.png" ContentType="image/png"/>
  <Override PartName="/word/media/rId32.png" ContentType="image/png"/>
  <Override PartName="/word/media/rId33.png" ContentType="image/png"/>
  <Override PartName="/word/media/rId34.png" ContentType="image/png"/>
  <Override PartName="/word/media/rId36.png" ContentType="image/png"/>
  <Override PartName="/word/media/rId37.png" ContentType="image/png"/>
  <Override PartName="/word/media/rId46.png" ContentType="image/png"/>
  <Override PartName="/word/media/rId4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even-things-that-affect-education-around-the-world"/>
      <w:bookmarkEnd w:id="21"/>
      <w:r>
        <w:t xml:space="preserve">Seven Things That Affect Education Around the World</w:t>
      </w:r>
    </w:p>
    <w:p>
      <w:r>
        <w:t xml:space="preserve">Luke Fostveldt, Alex Shum, Ian Lyttle, Di Cook</w:t>
      </w:r>
    </w:p>
    <w:p>
      <w:r>
        <w:t xml:space="preserve">Reducing inequities in educational outcomes is of great interest to politicians and the public, alike. Dissecting the causes of inequality is a much tougher challenge with no panacea. Nonetheless, tackling inequality in educational outcomes is essential from both moral and economic viewpoints. The Programme for International Student Assessment (PISA) is a triennial survey conducted by the Organization for Economic Cooperation and Development (OECD) with a rotating emphasis on one of mathematics, reading, or science. In 2012, the emphasis was on mathematics. All 34 member countries of the OECD and 31 partnering countries and economies participated in the survey. This represents over 80% of the global economy. The OECD estimates that if all students could reach a level-2 proficiency in mathematics -- a level-2 proficiency means that a student can only handle the ``simplest and most obvious tasks" -- it would add US$200 trillion to the world's collective GDP.</w:t>
      </w:r>
    </w:p>
    <w:p>
      <w:r>
        <w:t xml:space="preserve">The OECD PISA Results in Focus report describes the survey as ``the world's global metric for quality, equity and efficiency in school education". The goal of the PISA survey is to assess the workforce readiness of 15-year old students. Nearly 500,000 students were tested across 65 countries and economies. Students were examined on how well they can apply the knowledge they learned in school to applications outside of school. The reported scores range between 0-1000. Information about the students, parents, and schools is also collected. The students completed a questionnaire providing information about themselves, their homes, their schools, and a variety of psychological views regarding factors they believe affect their performance in school. School principals responded to a questionnaire covering their school system and learning experiences for their students. In some countries, parents completed a questionnaire requesting information about their perceptions regarding the school system, expectations for their child, and their involvement in their child's schooling.</w:t>
      </w:r>
    </w:p>
    <w:p>
      <w:r>
        <w:t xml:space="preserve">The data was made available by the OECD as part of a data challenge for the useR! 2014 conference. Entries to the competition can be found at http://beta.icm.edu.pl/PISAcontest/. We learned a lot from this data, and won one of the prizes. This article is a description of the seven main things we learned about 15-year olds, their math, science, and reading skills, and some of the factors that affect these skills.</w:t>
      </w:r>
    </w:p>
    <w:p>
      <w:pPr>
        <w:pStyle w:val="Heading1"/>
      </w:pPr>
      <w:bookmarkStart w:id="22" w:name="the-gender-gap-in-math-is-not-universal-but-the-reading-gap-is-in-favor-of-girls."/>
      <w:bookmarkEnd w:id="22"/>
      <w:r>
        <w:t xml:space="preserve">1. The gender gap in math is not universal but the reading gap is, in favor of girls.</w:t>
      </w:r>
    </w:p>
    <w:p>
      <w:r>
        <w:t xml:space="preserve">For each country, average scores on math and reading are calculated separately for boys and girls. These averages are differenced to compute the "gap" between boys and girls. Unadjusted t-statistics were calculated to determine the statistical significance of the difference. The results are plotted in the graphs below. Each dot corresponds to a difference between girls' and boys' scores, for each country. Color indicates statistical significance (blue in favor of boys, pink in favor of girls, and green means there was no significant difference). The size of the dot indicates the proportion of boys in the sample size. For most countries it is roughly equal, but some countries have an imblance, for example, Malaysia has more girls tested than boys. The maps color the countries by the presence of a gender gap.</w:t>
      </w:r>
    </w:p>
    <w:p>
      <w:r>
        <w:t xml:space="preserve">The countries are sorted from biggest gap to smallest gap. Most countries have a gender gap in math scores in favor of boys. Colombia has the biggest gender gap, about 30 points on average boys do better than girls. It should be noted that this is small, though, because this 30 points is out of a possible 1000 points. Five countries have gender gaps in favor of girls, and even more surprising, these are middle eastern or Muslim countries.</w:t>
      </w:r>
    </w:p>
    <w:p>
      <w:r>
        <w:t xml:space="preserve">Conversely, though, looking at reading scores, the story is entirely different. Universally, girls score significantly better than boys. Again, the size of the gap is small, between 10 and 80 points.</w:t>
      </w:r>
    </w:p>
    <w:p>
      <w:r>
        <w:t xml:space="preserve">Although not shown here, it also should be noted that this is the difference between the average scores for boys and girls. There is a slightly different story for each country if we look at the top math score for each gender only. We would notice that the top score in the USA is achieved by a girl, and is substantially higher than the highest boys' score. There is far more individual variability than the overall average differences - who you are is more important than your demographic.</w:t>
      </w:r>
    </w:p>
    <w:p>
      <w:r>
        <w:drawing>
          <wp:inline>
            <wp:extent cx="5440680" cy="8161020"/>
            <wp:effectExtent b="0" l="0" r="0" t="0"/>
            <wp:docPr descr="" id="1" name="Picture"/>
            <a:graphic>
              <a:graphicData uri="http://schemas.openxmlformats.org/drawingml/2006/picture">
                <pic:pic>
                  <pic:nvPicPr>
                    <pic:cNvPr descr="figure/gendermath.png" id="0" name="Picture"/>
                    <pic:cNvPicPr>
                      <a:picLocks noChangeArrowheads="1" noChangeAspect="1"/>
                    </pic:cNvPicPr>
                  </pic:nvPicPr>
                  <pic:blipFill>
                    <a:blip r:embed="rId23"/>
                    <a:stretch>
                      <a:fillRect/>
                    </a:stretch>
                  </pic:blipFill>
                  <pic:spPr bwMode="auto">
                    <a:xfrm>
                      <a:off x="0" y="0"/>
                      <a:ext cx="5440680" cy="8161020"/>
                    </a:xfrm>
                    <a:prstGeom prst="rect">
                      <a:avLst/>
                    </a:prstGeom>
                    <a:noFill/>
                    <a:ln w="9525">
                      <a:noFill/>
                      <a:headEnd/>
                      <a:tailEnd/>
                    </a:ln>
                  </pic:spPr>
                </pic:pic>
              </a:graphicData>
            </a:graphic>
          </wp:inline>
        </w:drawing>
      </w:r>
    </w:p>
    <w:p>
      <w:pPr>
        <w:pStyle w:val="ImageCaption"/>
      </w:pPr>
      <w:r>
        <w:t xml:space="preserve">plot of chunk gendermath</w:t>
      </w:r>
    </w:p>
    <w:p>
      <w:r>
        <w:drawing>
          <wp:inline>
            <wp:extent cx="5440680" cy="3173730"/>
            <wp:effectExtent b="0" l="0" r="0" t="0"/>
            <wp:docPr descr="" id="1" name="Picture"/>
            <a:graphic>
              <a:graphicData uri="http://schemas.openxmlformats.org/drawingml/2006/picture">
                <pic:pic>
                  <pic:nvPicPr>
                    <pic:cNvPr descr="figure/gendermaps.png" id="0" name="Picture"/>
                    <pic:cNvPicPr>
                      <a:picLocks noChangeArrowheads="1" noChangeAspect="1"/>
                    </pic:cNvPicPr>
                  </pic:nvPicPr>
                  <pic:blipFill>
                    <a:blip r:embed="rId24"/>
                    <a:stretch>
                      <a:fillRect/>
                    </a:stretch>
                  </pic:blipFill>
                  <pic:spPr bwMode="auto">
                    <a:xfrm>
                      <a:off x="0" y="0"/>
                      <a:ext cx="5440680" cy="3173730"/>
                    </a:xfrm>
                    <a:prstGeom prst="rect">
                      <a:avLst/>
                    </a:prstGeom>
                    <a:noFill/>
                    <a:ln w="9525">
                      <a:noFill/>
                      <a:headEnd/>
                      <a:tailEnd/>
                    </a:ln>
                  </pic:spPr>
                </pic:pic>
              </a:graphicData>
            </a:graphic>
          </wp:inline>
        </w:drawing>
      </w:r>
    </w:p>
    <w:p>
      <w:pPr>
        <w:pStyle w:val="ImageCaption"/>
      </w:pPr>
      <w:r>
        <w:t xml:space="preserve">plot of chunk gendermaps</w:t>
      </w:r>
    </w:p>
    <w:p>
      <w:r>
        <w:drawing>
          <wp:inline>
            <wp:extent cx="5440680" cy="8161020"/>
            <wp:effectExtent b="0" l="0" r="0" t="0"/>
            <wp:docPr descr="" id="1" name="Picture"/>
            <a:graphic>
              <a:graphicData uri="http://schemas.openxmlformats.org/drawingml/2006/picture">
                <pic:pic>
                  <pic:nvPicPr>
                    <pic:cNvPr descr="figure/genderead.png" id="0" name="Picture"/>
                    <pic:cNvPicPr>
                      <a:picLocks noChangeArrowheads="1" noChangeAspect="1"/>
                    </pic:cNvPicPr>
                  </pic:nvPicPr>
                  <pic:blipFill>
                    <a:blip r:embed="rId25"/>
                    <a:stretch>
                      <a:fillRect/>
                    </a:stretch>
                  </pic:blipFill>
                  <pic:spPr bwMode="auto">
                    <a:xfrm>
                      <a:off x="0" y="0"/>
                      <a:ext cx="5440680" cy="8161020"/>
                    </a:xfrm>
                    <a:prstGeom prst="rect">
                      <a:avLst/>
                    </a:prstGeom>
                    <a:noFill/>
                    <a:ln w="9525">
                      <a:noFill/>
                      <a:headEnd/>
                      <a:tailEnd/>
                    </a:ln>
                  </pic:spPr>
                </pic:pic>
              </a:graphicData>
            </a:graphic>
          </wp:inline>
        </w:drawing>
      </w:r>
    </w:p>
    <w:p>
      <w:pPr>
        <w:pStyle w:val="ImageCaption"/>
      </w:pPr>
      <w:r>
        <w:t xml:space="preserve">plot of chunk genderead</w:t>
      </w:r>
    </w:p>
    <w:p>
      <w:r>
        <w:drawing>
          <wp:inline>
            <wp:extent cx="5440680" cy="3173730"/>
            <wp:effectExtent b="0" l="0" r="0" t="0"/>
            <wp:docPr descr="" id="1" name="Picture"/>
            <a:graphic>
              <a:graphicData uri="http://schemas.openxmlformats.org/drawingml/2006/picture">
                <pic:pic>
                  <pic:nvPicPr>
                    <pic:cNvPr descr="figure/gendermaps2.png" id="0" name="Picture"/>
                    <pic:cNvPicPr>
                      <a:picLocks noChangeArrowheads="1" noChangeAspect="1"/>
                    </pic:cNvPicPr>
                  </pic:nvPicPr>
                  <pic:blipFill>
                    <a:blip r:embed="rId26"/>
                    <a:stretch>
                      <a:fillRect/>
                    </a:stretch>
                  </pic:blipFill>
                  <pic:spPr bwMode="auto">
                    <a:xfrm>
                      <a:off x="0" y="0"/>
                      <a:ext cx="5440680" cy="3173730"/>
                    </a:xfrm>
                    <a:prstGeom prst="rect">
                      <a:avLst/>
                    </a:prstGeom>
                    <a:noFill/>
                    <a:ln w="9525">
                      <a:noFill/>
                      <a:headEnd/>
                      <a:tailEnd/>
                    </a:ln>
                  </pic:spPr>
                </pic:pic>
              </a:graphicData>
            </a:graphic>
          </wp:inline>
        </w:drawing>
      </w:r>
    </w:p>
    <w:p>
      <w:pPr>
        <w:pStyle w:val="ImageCaption"/>
      </w:pPr>
      <w:r>
        <w:t xml:space="preserve">plot of chunk gendermaps2</w:t>
      </w:r>
    </w:p>
    <w:p>
      <w:pPr>
        <w:pStyle w:val="Heading1"/>
      </w:pPr>
      <w:bookmarkStart w:id="27" w:name="starting-school-at-an-older-age-generates-lower-average-math-scores."/>
      <w:bookmarkEnd w:id="27"/>
      <w:r>
        <w:t xml:space="preserve">2. Starting school at an older age generates lower average math scores.</w:t>
      </w:r>
    </w:p>
    <w:p>
      <w:r>
        <w:t xml:space="preserve">For each country, we have computed the average math score by age that the children started school. In addition, for each country we computed the median age that children in the study started school. There are differences in typical school start age between countries. Ireland has the youngest median start age - children head to school at age 4. Britain, and its past colonies, Australia, Canada and New Zealand, have a median start age of 5. For many other countries the median start age is 6, and for northern Europe, much of Asia, and Brazil median start age is as late as 7. Some countries appear to have rigid starting ages, e.g. in Japan all children start at age 6.</w:t>
      </w:r>
    </w:p>
    <w:p>
      <w:r>
        <w:t xml:space="preserve">Within a country, looking at the average math score for each start age, the score typically declines, especially after age 6. This is almost uniformly the pattern across all of the countries in the study. For several countries - Russia, Denmark, Bulgaria - if a child starts school at age 4 their math scores were much better on average than any other age group. School start age matters. Children need to start school in the 4-6 age range to expect better math scores, on average.</w:t>
      </w:r>
    </w:p>
    <w:p>
      <w:r>
        <w:drawing>
          <wp:inline>
            <wp:extent cx="5440680" cy="6528816"/>
            <wp:effectExtent b="0" l="0" r="0" t="0"/>
            <wp:docPr descr="" id="1" name="Picture"/>
            <a:graphic>
              <a:graphicData uri="http://schemas.openxmlformats.org/drawingml/2006/picture">
                <pic:pic>
                  <pic:nvPicPr>
                    <pic:cNvPr descr="figure/age.png" id="0" name="Picture"/>
                    <pic:cNvPicPr>
                      <a:picLocks noChangeArrowheads="1" noChangeAspect="1"/>
                    </pic:cNvPicPr>
                  </pic:nvPicPr>
                  <pic:blipFill>
                    <a:blip r:embed="rId28"/>
                    <a:stretch>
                      <a:fillRect/>
                    </a:stretch>
                  </pic:blipFill>
                  <pic:spPr bwMode="auto">
                    <a:xfrm>
                      <a:off x="0" y="0"/>
                      <a:ext cx="5440680" cy="6528816"/>
                    </a:xfrm>
                    <a:prstGeom prst="rect">
                      <a:avLst/>
                    </a:prstGeom>
                    <a:noFill/>
                    <a:ln w="9525">
                      <a:noFill/>
                      <a:headEnd/>
                      <a:tailEnd/>
                    </a:ln>
                  </pic:spPr>
                </pic:pic>
              </a:graphicData>
            </a:graphic>
          </wp:inline>
        </w:drawing>
      </w:r>
    </w:p>
    <w:p>
      <w:pPr>
        <w:pStyle w:val="ImageCaption"/>
      </w:pPr>
      <w:r>
        <w:t xml:space="preserve">plot of chunk age</w:t>
      </w:r>
    </w:p>
    <w:p>
      <w:r>
        <w:drawing>
          <wp:inline>
            <wp:extent cx="5440680" cy="3173730"/>
            <wp:effectExtent b="0" l="0" r="0" t="0"/>
            <wp:docPr descr="" id="1" name="Picture"/>
            <a:graphic>
              <a:graphicData uri="http://schemas.openxmlformats.org/drawingml/2006/picture">
                <pic:pic>
                  <pic:nvPicPr>
                    <pic:cNvPr descr="figure/agemaps.png" id="0" name="Picture"/>
                    <pic:cNvPicPr>
                      <a:picLocks noChangeArrowheads="1" noChangeAspect="1"/>
                    </pic:cNvPicPr>
                  </pic:nvPicPr>
                  <pic:blipFill>
                    <a:blip r:embed="rId29"/>
                    <a:stretch>
                      <a:fillRect/>
                    </a:stretch>
                  </pic:blipFill>
                  <pic:spPr bwMode="auto">
                    <a:xfrm>
                      <a:off x="0" y="0"/>
                      <a:ext cx="5440680" cy="3173730"/>
                    </a:xfrm>
                    <a:prstGeom prst="rect">
                      <a:avLst/>
                    </a:prstGeom>
                    <a:noFill/>
                    <a:ln w="9525">
                      <a:noFill/>
                      <a:headEnd/>
                      <a:tailEnd/>
                    </a:ln>
                  </pic:spPr>
                </pic:pic>
              </a:graphicData>
            </a:graphic>
          </wp:inline>
        </w:drawing>
      </w:r>
    </w:p>
    <w:p>
      <w:pPr>
        <w:pStyle w:val="ImageCaption"/>
      </w:pPr>
      <w:r>
        <w:t xml:space="preserve">plot of chunk agemaps</w:t>
      </w:r>
    </w:p>
    <w:p>
      <w:pPr>
        <w:pStyle w:val="Heading1"/>
      </w:pPr>
      <w:bookmarkStart w:id="30" w:name="shortages-in-teachers-computers-and-libraries-at-school-make-a-difference-in-math-scores-in-a-few-countries"/>
      <w:bookmarkEnd w:id="30"/>
      <w:r>
        <w:t xml:space="preserve">3. Shortages in teachers, computers, and libraries at school make a difference in math scores in a few countries</w:t>
      </w:r>
    </w:p>
    <w:p>
      <w:r>
        <w:t xml:space="preserve">Within the PISA dataset, the school table has information about shortages on items viewed as being important for good instruction. The plot below examines three of these: lack of teachers, lack of computers, and shortage of library materials. The barcharts show the overall counts of shortages in schools. Teacher shortage is less comman than material shortages.</w:t>
      </w:r>
    </w:p>
    <w:p>
      <w:r>
        <w:t xml:space="preserve">These factors are compared with math scores from the student table, across countries. In most countries, scores don't change mcuh as shortages get worse. Scores decrease by 10-20 points onaverage in countries like Australia, China, Uruguay, Turkey, UAE, USA. Teacher shortages appear to have impact in a few countries like Greece, Slovakia, and Serbia.</w:t>
      </w:r>
    </w:p>
    <w:p>
      <w:r>
        <w:drawing>
          <wp:inline>
            <wp:extent cx="3657600" cy="3657600"/>
            <wp:effectExtent b="0" l="0" r="0" t="0"/>
            <wp:docPr descr="" id="1" name="Picture"/>
            <a:graphic>
              <a:graphicData uri="http://schemas.openxmlformats.org/drawingml/2006/picture">
                <pic:pic>
                  <pic:nvPicPr>
                    <pic:cNvPr descr="figure/shortages1.png" id="0" name="Picture"/>
                    <pic:cNvPicPr>
                      <a:picLocks noChangeArrowheads="1" noChangeAspect="1"/>
                    </pic:cNvPicPr>
                  </pic:nvPicPr>
                  <pic:blipFill>
                    <a:blip r:embed="rId31"/>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drawing>
          <wp:inline>
            <wp:extent cx="3657600" cy="3657600"/>
            <wp:effectExtent b="0" l="0" r="0" t="0"/>
            <wp:docPr descr="" id="1" name="Picture"/>
            <a:graphic>
              <a:graphicData uri="http://schemas.openxmlformats.org/drawingml/2006/picture">
                <pic:pic>
                  <pic:nvPicPr>
                    <pic:cNvPr descr="figure/shortages2.png" id="0" name="Picture"/>
                    <pic:cNvPicPr>
                      <a:picLocks noChangeArrowheads="1" noChangeAspect="1"/>
                    </pic:cNvPicPr>
                  </pic:nvPicPr>
                  <pic:blipFill>
                    <a:blip r:embed="rId32"/>
                    <a:stretch>
                      <a:fillRect/>
                    </a:stretch>
                  </pic:blipFill>
                  <pic:spPr bwMode="auto">
                    <a:xfrm>
                      <a:off x="0" y="0"/>
                      <a:ext cx="3657600" cy="3657600"/>
                    </a:xfrm>
                    <a:prstGeom prst="rect">
                      <a:avLst/>
                    </a:prstGeom>
                    <a:noFill/>
                    <a:ln w="9525">
                      <a:noFill/>
                      <a:headEnd/>
                      <a:tailEnd/>
                    </a:ln>
                  </pic:spPr>
                </pic:pic>
              </a:graphicData>
            </a:graphic>
          </wp:inline>
        </w:drawing>
      </w:r>
      <w:r>
        <w:t xml:space="preserve"> </w:t>
      </w:r>
      <w:r>
        <w:drawing>
          <wp:inline>
            <wp:extent cx="3657600" cy="3657600"/>
            <wp:effectExtent b="0" l="0" r="0" t="0"/>
            <wp:docPr descr="" id="1" name="Picture"/>
            <a:graphic>
              <a:graphicData uri="http://schemas.openxmlformats.org/drawingml/2006/picture">
                <pic:pic>
                  <pic:nvPicPr>
                    <pic:cNvPr descr="figure/shortages3.png" id="0"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p>
      <w:r>
        <w:drawing>
          <wp:inline>
            <wp:extent cx="5440680" cy="6528816"/>
            <wp:effectExtent b="0" l="0" r="0" t="0"/>
            <wp:docPr descr="" id="1" name="Picture"/>
            <a:graphic>
              <a:graphicData uri="http://schemas.openxmlformats.org/drawingml/2006/picture">
                <pic:pic>
                  <pic:nvPicPr>
                    <pic:cNvPr descr="figure/shortagesbars.png" id="0" name="Picture"/>
                    <pic:cNvPicPr>
                      <a:picLocks noChangeArrowheads="1" noChangeAspect="1"/>
                    </pic:cNvPicPr>
                  </pic:nvPicPr>
                  <pic:blipFill>
                    <a:blip r:embed="rId34"/>
                    <a:stretch>
                      <a:fillRect/>
                    </a:stretch>
                  </pic:blipFill>
                  <pic:spPr bwMode="auto">
                    <a:xfrm>
                      <a:off x="0" y="0"/>
                      <a:ext cx="5440680" cy="6528816"/>
                    </a:xfrm>
                    <a:prstGeom prst="rect">
                      <a:avLst/>
                    </a:prstGeom>
                    <a:noFill/>
                    <a:ln w="9525">
                      <a:noFill/>
                      <a:headEnd/>
                      <a:tailEnd/>
                    </a:ln>
                  </pic:spPr>
                </pic:pic>
              </a:graphicData>
            </a:graphic>
          </wp:inline>
        </w:drawing>
      </w:r>
    </w:p>
    <w:p>
      <w:pPr>
        <w:pStyle w:val="ImageCaption"/>
      </w:pPr>
      <w:r>
        <w:t xml:space="preserve">plot of chunk shortagesbars</w:t>
      </w:r>
    </w:p>
    <w:p>
      <w:pPr>
        <w:pStyle w:val="Heading1"/>
      </w:pPr>
      <w:bookmarkStart w:id="35" w:name="time-spent-out-of-school-studying-is-important-but-only-up-to-a-point."/>
      <w:bookmarkEnd w:id="35"/>
      <w:r>
        <w:t xml:space="preserve">4. Time spent out of school studying is important, but only up to a point.</w:t>
      </w:r>
    </w:p>
    <w:p>
      <w:r>
        <w:t xml:space="preserve">For each country we have provided loess-smoothed curves of the relationship between the math score and the time spent studying outside of school. Math scores increase on average the more time spent studying, up to about 10 hours. Beyond that scores stay flat, with the exception being several Asian countries: Vietnam, China, South Korea, Taiwan. For China, the gain tails off around 20 hours of study.</w:t>
      </w:r>
    </w:p>
    <w:p>
      <w:r>
        <w:t xml:space="preserve">The vast majority of students spend less than 10 hours studying per week. The pattern suggests decreasing benefits to increased out of school study time after 10 hours.</w:t>
      </w:r>
    </w:p>
    <w:p>
      <w:r>
        <w:drawing>
          <wp:inline>
            <wp:extent cx="5440680" cy="6528816"/>
            <wp:effectExtent b="0" l="0" r="0" t="0"/>
            <wp:docPr descr="" id="1" name="Picture"/>
            <a:graphic>
              <a:graphicData uri="http://schemas.openxmlformats.org/drawingml/2006/picture">
                <pic:pic>
                  <pic:nvPicPr>
                    <pic:cNvPr descr="figure/studying.png" id="0" name="Picture"/>
                    <pic:cNvPicPr>
                      <a:picLocks noChangeArrowheads="1" noChangeAspect="1"/>
                    </pic:cNvPicPr>
                  </pic:nvPicPr>
                  <pic:blipFill>
                    <a:blip r:embed="rId36"/>
                    <a:stretch>
                      <a:fillRect/>
                    </a:stretch>
                  </pic:blipFill>
                  <pic:spPr bwMode="auto">
                    <a:xfrm>
                      <a:off x="0" y="0"/>
                      <a:ext cx="5440680" cy="6528816"/>
                    </a:xfrm>
                    <a:prstGeom prst="rect">
                      <a:avLst/>
                    </a:prstGeom>
                    <a:noFill/>
                    <a:ln w="9525">
                      <a:noFill/>
                      <a:headEnd/>
                      <a:tailEnd/>
                    </a:ln>
                  </pic:spPr>
                </pic:pic>
              </a:graphicData>
            </a:graphic>
          </wp:inline>
        </w:drawing>
      </w:r>
    </w:p>
    <w:p>
      <w:pPr>
        <w:pStyle w:val="ImageCaption"/>
      </w:pPr>
      <w:r>
        <w:t xml:space="preserve">plot of chunk studying</w:t>
      </w:r>
    </w:p>
    <w:p>
      <w:r>
        <w:drawing>
          <wp:inline>
            <wp:extent cx="3657600" cy="3657600"/>
            <wp:effectExtent b="0" l="0" r="0" t="0"/>
            <wp:docPr descr="" id="1" name="Picture"/>
            <a:graphic>
              <a:graphicData uri="http://schemas.openxmlformats.org/drawingml/2006/picture">
                <pic:pic>
                  <pic:nvPicPr>
                    <pic:cNvPr descr="figure/studyingbar.png" id="0" name="Picture"/>
                    <pic:cNvPicPr>
                      <a:picLocks noChangeArrowheads="1" noChangeAspect="1"/>
                    </pic:cNvPicPr>
                  </pic:nvPicPr>
                  <pic:blipFill>
                    <a:blip r:embed="rId37"/>
                    <a:stretch>
                      <a:fillRect/>
                    </a:stretch>
                  </pic:blipFill>
                  <pic:spPr bwMode="auto">
                    <a:xfrm>
                      <a:off x="0" y="0"/>
                      <a:ext cx="3657600" cy="3657600"/>
                    </a:xfrm>
                    <a:prstGeom prst="rect">
                      <a:avLst/>
                    </a:prstGeom>
                    <a:noFill/>
                    <a:ln w="9525">
                      <a:noFill/>
                      <a:headEnd/>
                      <a:tailEnd/>
                    </a:ln>
                  </pic:spPr>
                </pic:pic>
              </a:graphicData>
            </a:graphic>
          </wp:inline>
        </w:drawing>
      </w:r>
    </w:p>
    <w:p>
      <w:pPr>
        <w:pStyle w:val="ImageCaption"/>
      </w:pPr>
      <w:r>
        <w:t xml:space="preserve">plot of chunk studyingbar</w:t>
      </w:r>
    </w:p>
    <w:p>
      <w:pPr>
        <w:pStyle w:val="Heading1"/>
      </w:pPr>
      <w:bookmarkStart w:id="38" w:name="parents-matter"/>
      <w:bookmarkEnd w:id="38"/>
      <w:r>
        <w:t xml:space="preserve">5. Parents matter!</w:t>
      </w:r>
    </w:p>
    <w:p>
      <w:pPr>
        <w:pStyle w:val="Heading3"/>
      </w:pPr>
      <w:bookmarkStart w:id="39" w:name="a.-number-of-parents-in-the-home"/>
      <w:bookmarkEnd w:id="39"/>
      <w:r>
        <w:t xml:space="preserve">a. Number of parents in the home</w:t>
      </w:r>
    </w:p>
    <w:p>
      <w:r>
        <w:t xml:space="preserve">The role of parents in educational achievement is the subject of much research. Looking at the number of parents in a household shows that students in two-parent households are, on average, performing better in math than students not in a two-parent households. The majority of students live in two-parent households. Of the single-parent households, a single mother is more common than a single father. Scores of students with just a mother at home tend to be higher than those with just a father at home. In many countries, mostly Asian, students from single-mother households achieve comparably to those from two-parent households. Students in households with no parents tend to perform the worst. This pattern is consistent across all countries.</w:t>
      </w:r>
    </w:p>
    <w:p>
      <w:r>
        <w:drawing>
          <wp:inline>
            <wp:extent cx="3657600" cy="3657600"/>
            <wp:effectExtent b="0" l="0" r="0" t="0"/>
            <wp:docPr descr="" id="1" name="Picture"/>
            <a:graphic>
              <a:graphicData uri="http://schemas.openxmlformats.org/drawingml/2006/picture">
                <pic:pic>
                  <pic:nvPicPr>
                    <pic:cNvPr descr="figure/par_athomebar.png" id="0" name="Picture"/>
                    <pic:cNvPicPr>
                      <a:picLocks noChangeArrowheads="1" noChangeAspect="1"/>
                    </pic:cNvPicPr>
                  </pic:nvPicPr>
                  <pic:blipFill>
                    <a:blip r:embed="rId40"/>
                    <a:stretch>
                      <a:fillRect/>
                    </a:stretch>
                  </pic:blipFill>
                  <pic:spPr bwMode="auto">
                    <a:xfrm>
                      <a:off x="0" y="0"/>
                      <a:ext cx="3657600" cy="3657600"/>
                    </a:xfrm>
                    <a:prstGeom prst="rect">
                      <a:avLst/>
                    </a:prstGeom>
                    <a:noFill/>
                    <a:ln w="9525">
                      <a:noFill/>
                      <a:headEnd/>
                      <a:tailEnd/>
                    </a:ln>
                  </pic:spPr>
                </pic:pic>
              </a:graphicData>
            </a:graphic>
          </wp:inline>
        </w:drawing>
      </w:r>
    </w:p>
    <w:p>
      <w:pPr>
        <w:pStyle w:val="ImageCaption"/>
      </w:pPr>
      <w:r>
        <w:t xml:space="preserve">plot of chunk par_athomebar</w:t>
      </w:r>
    </w:p>
    <w:p>
      <w:r>
        <w:drawing>
          <wp:inline>
            <wp:extent cx="5440680" cy="5440680"/>
            <wp:effectExtent b="0" l="0" r="0" t="0"/>
            <wp:docPr descr="" id="1" name="Picture"/>
            <a:graphic>
              <a:graphicData uri="http://schemas.openxmlformats.org/drawingml/2006/picture">
                <pic:pic>
                  <pic:nvPicPr>
                    <pic:cNvPr descr="figure/par_athome.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p>
    <w:p>
      <w:pPr>
        <w:pStyle w:val="ImageCaption"/>
      </w:pPr>
      <w:r>
        <w:t xml:space="preserve">plot of chunk par_athome</w:t>
      </w:r>
    </w:p>
    <w:p>
      <w:pPr>
        <w:pStyle w:val="Heading3"/>
      </w:pPr>
      <w:bookmarkStart w:id="42" w:name="b.-parents-occupation-status"/>
      <w:bookmarkEnd w:id="42"/>
      <w:r>
        <w:t xml:space="preserve">b. Parent's Occupation Status</w:t>
      </w:r>
    </w:p>
    <w:p>
      <w:r>
        <w:t xml:space="preserve">One of the variables the survey addressed was the occupation status of each of the parents. There were five possible categories: “Full-Time”, “Part-Time”, “Not working, but looking for a job”, “Other (e.g. stay-at-home, retired)”, and no response. The frequencies for these categories can be seen in the bar chart. The chart shows that fathers primarily have full-time jobs. However, there are large numbers of mothers who work full-time, part-time, or are categorized as "Other". With women making up a larger portion of the work-force, it is interesting to look at how the parents' occupations relate to students' performance in math.</w:t>
      </w:r>
    </w:p>
    <w:p>
      <w:r>
        <w:t xml:space="preserve">The plot below shows the average student math score by the parents' occupational status. The countries are sorted according to the average score for students with a mother who is "full-time" in the work force. Occupational status is distinguished by color. Students with mothers who work part-time or full-time tend outperform those students with mothers labelled as "Other". This pattern holds with only a few exceptions, Switzerland, Netherlands, USA, Japan. Meanwhile, when the father is employed part-time, students tend to have much lower scores that if the father labelled as "Other". Those students whose fathers have full-time jobs have the highest average scores among the possible work statuses for the father. The patterns described also hold across reading and science.</w:t>
      </w:r>
    </w:p>
    <w:p>
      <w:r>
        <w:drawing>
          <wp:inline>
            <wp:extent cx="5440680" cy="6528816"/>
            <wp:effectExtent b="0" l="0" r="0" t="0"/>
            <wp:docPr descr="" id="1" name="Picture"/>
            <a:graphic>
              <a:graphicData uri="http://schemas.openxmlformats.org/drawingml/2006/picture">
                <pic:pic>
                  <pic:nvPicPr>
                    <pic:cNvPr descr="figure/parentsjob.png" id="0" name="Picture"/>
                    <pic:cNvPicPr>
                      <a:picLocks noChangeArrowheads="1" noChangeAspect="1"/>
                    </pic:cNvPicPr>
                  </pic:nvPicPr>
                  <pic:blipFill>
                    <a:blip r:embed="rId43"/>
                    <a:stretch>
                      <a:fillRect/>
                    </a:stretch>
                  </pic:blipFill>
                  <pic:spPr bwMode="auto">
                    <a:xfrm>
                      <a:off x="0" y="0"/>
                      <a:ext cx="5440680" cy="6528816"/>
                    </a:xfrm>
                    <a:prstGeom prst="rect">
                      <a:avLst/>
                    </a:prstGeom>
                    <a:noFill/>
                    <a:ln w="9525">
                      <a:noFill/>
                      <a:headEnd/>
                      <a:tailEnd/>
                    </a:ln>
                  </pic:spPr>
                </pic:pic>
              </a:graphicData>
            </a:graphic>
          </wp:inline>
        </w:drawing>
      </w:r>
    </w:p>
    <w:p>
      <w:pPr>
        <w:pStyle w:val="ImageCaption"/>
      </w:pPr>
      <w:r>
        <w:t xml:space="preserve">plot of chunk parentsjob</w:t>
      </w:r>
    </w:p>
    <w:p>
      <w:pPr>
        <w:pStyle w:val="Heading1"/>
      </w:pPr>
      <w:bookmarkStart w:id="44" w:name="albania-is-not-like-anyone-else"/>
      <w:bookmarkEnd w:id="44"/>
      <w:r>
        <w:t xml:space="preserve">6. Albania is not like anyone else!</w:t>
      </w:r>
    </w:p>
    <w:p>
      <w:r>
        <w:t xml:space="preserve">Albania appears to be an outlier in many educational trends. Many socioeconomic and school factors that play a role in other nations' test scores do not appear to affect Albania's test scores. For example, Albania has one of the smallest gender gaps for math scores. Additionally, number of possessions and truancy rates affected test scores for every nation except Albania.</w:t>
      </w:r>
    </w:p>
    <w:p>
      <w:r>
        <w:t xml:space="preserve">Generally, students with more possessions score higher on average. The number of possessions is a surrogate for a student's economic standing. The survey records whether students have desks, computers, internet, books, a place to study and dozens of other possessions. After aggregating these number of possessions together, to get a total, we can see that scores increase on average as possessions increase in all nations, except Albania.</w:t>
      </w:r>
    </w:p>
    <w:p>
      <w:r>
        <w:drawing>
          <wp:inline>
            <wp:extent cx="5440680" cy="6528816"/>
            <wp:effectExtent b="0" l="0" r="0" t="0"/>
            <wp:docPr descr="" id="1" name="Picture"/>
            <a:graphic>
              <a:graphicData uri="http://schemas.openxmlformats.org/drawingml/2006/picture">
                <pic:pic>
                  <pic:nvPicPr>
                    <pic:cNvPr descr="figure/albania-possessions.png" id="0" name="Picture"/>
                    <pic:cNvPicPr>
                      <a:picLocks noChangeArrowheads="1" noChangeAspect="1"/>
                    </pic:cNvPicPr>
                  </pic:nvPicPr>
                  <pic:blipFill>
                    <a:blip r:embed="rId45"/>
                    <a:stretch>
                      <a:fillRect/>
                    </a:stretch>
                  </pic:blipFill>
                  <pic:spPr bwMode="auto">
                    <a:xfrm>
                      <a:off x="0" y="0"/>
                      <a:ext cx="5440680" cy="6528816"/>
                    </a:xfrm>
                    <a:prstGeom prst="rect">
                      <a:avLst/>
                    </a:prstGeom>
                    <a:noFill/>
                    <a:ln w="9525">
                      <a:noFill/>
                      <a:headEnd/>
                      <a:tailEnd/>
                    </a:ln>
                  </pic:spPr>
                </pic:pic>
              </a:graphicData>
            </a:graphic>
          </wp:inline>
        </w:drawing>
      </w:r>
    </w:p>
    <w:p>
      <w:pPr>
        <w:pStyle w:val="ImageCaption"/>
      </w:pPr>
      <w:r>
        <w:t xml:space="preserve">plot of chunk albania-possessions</w:t>
      </w:r>
    </w:p>
    <w:p>
      <w:r>
        <w:t xml:space="preserve">A similar aberration is seen with school reported truancy rates. Each school reports the level of student truancy: not at all, very little, to some extent, or a lot. We group schools together by reported truancy level and aggregate the test scores for students at these schools. Generally students at schools with high truancy rates average lower test scores than students at schools with lower truancy rates, except for schools in Albania.</w:t>
      </w:r>
    </w:p>
    <w:p>
      <w:r>
        <w:drawing>
          <wp:inline>
            <wp:extent cx="5440680" cy="6528816"/>
            <wp:effectExtent b="0" l="0" r="0" t="0"/>
            <wp:docPr descr="" id="1" name="Picture"/>
            <a:graphic>
              <a:graphicData uri="http://schemas.openxmlformats.org/drawingml/2006/picture">
                <pic:pic>
                  <pic:nvPicPr>
                    <pic:cNvPr descr="figure/truancyschool.png" id="0" name="Picture"/>
                    <pic:cNvPicPr>
                      <a:picLocks noChangeArrowheads="1" noChangeAspect="1"/>
                    </pic:cNvPicPr>
                  </pic:nvPicPr>
                  <pic:blipFill>
                    <a:blip r:embed="rId46"/>
                    <a:stretch>
                      <a:fillRect/>
                    </a:stretch>
                  </pic:blipFill>
                  <pic:spPr bwMode="auto">
                    <a:xfrm>
                      <a:off x="0" y="0"/>
                      <a:ext cx="5440680" cy="6528816"/>
                    </a:xfrm>
                    <a:prstGeom prst="rect">
                      <a:avLst/>
                    </a:prstGeom>
                    <a:noFill/>
                    <a:ln w="9525">
                      <a:noFill/>
                      <a:headEnd/>
                      <a:tailEnd/>
                    </a:ln>
                  </pic:spPr>
                </pic:pic>
              </a:graphicData>
            </a:graphic>
          </wp:inline>
        </w:drawing>
      </w:r>
    </w:p>
    <w:p>
      <w:pPr>
        <w:pStyle w:val="ImageCaption"/>
      </w:pPr>
      <w:r>
        <w:t xml:space="preserve">plot of chunk truancyschool</w:t>
      </w:r>
    </w:p>
    <w:p>
      <w:pPr>
        <w:pStyle w:val="Heading1"/>
      </w:pPr>
      <w:bookmarkStart w:id="47" w:name="more-tvs-yield-higher-math-scores-in-the-developing-world-but-lower-in-the-developed-countries."/>
      <w:bookmarkEnd w:id="47"/>
      <w:r>
        <w:t xml:space="preserve">7. More TVs yield higher math scores in the developing world, but lower in the developed countries.</w:t>
      </w:r>
    </w:p>
    <w:p>
      <w:r>
        <w:t xml:space="preserve">One of the factors in the data is the number of televisions in the student's household. Possible values were: "zero", "one", "two", or "three or more". Because there were so (relatively) few observations of "zero", for this investigation, the "zero" and "one" categories were combined to form a "one or less" category.</w:t>
      </w:r>
    </w:p>
    <w:p>
      <w:r>
        <w:t xml:space="preserve">A linear model was fitted for the students of each country, using the math score as the dependent variable and the number of televisions as the independent variable (as an ordered factor). The direction and significance of the correlation was determined for each country. Significance is indicated by the p-value for a given regression being less than 0.05.</w:t>
      </w:r>
    </w:p>
    <w:p>
      <w:r>
        <w:t xml:space="preserve">For many countries, a significant relationship was be found between math scores and number of household televisions. The interesting part was to notice that those countries with a significant</w:t>
      </w:r>
      <w:r>
        <w:t xml:space="preserve"> </w:t>
      </w:r>
      <w:r>
        <w:rPr>
          <w:i/>
        </w:rPr>
        <w:t xml:space="preserve">positive</w:t>
      </w:r>
      <w:r>
        <w:t xml:space="preserve"> </w:t>
      </w:r>
      <w:r>
        <w:t xml:space="preserve">relationship appear to include much of the developing world (with lower median-scores), while those countries with a significant</w:t>
      </w:r>
      <w:r>
        <w:t xml:space="preserve"> </w:t>
      </w:r>
      <w:r>
        <w:rPr>
          <w:i/>
        </w:rPr>
        <w:t xml:space="preserve">negative</w:t>
      </w:r>
      <w:r>
        <w:t xml:space="preserve"> </w:t>
      </w:r>
      <w:r>
        <w:t xml:space="preserve">relationship appear to include much of the developed world (with higher median-scores).</w:t>
      </w:r>
    </w:p>
    <w:p>
      <w:r>
        <w:t xml:space="preserve">The figure below illustrates the relationship, along with another factor, the student has a place to study. It is a complex diagram, but of interest is the middle column of plots - the boxplots overlaid on other information show the math scores of students relative to the number of TVs in the household, separately plotted for countries falling into one of three categories, negative, zero or positive correlation. The white regions are violin plots of math scores by presence or absence of a place to study. A place to study universally leads to better math scores on average. The map is colored by correlation between number of TVs and math scores. The bar charts indicates sample size for the categories. The dot plots show average math scores by country, separately for each correlation group.</w:t>
      </w:r>
    </w:p>
    <w:p>
      <w:r>
        <w:t xml:space="preserve">It is interesing that the more TVs in the household in developed countries leads to lower math scores on average. Although results shown here are for math only, a similar set of relationships is found using the reading and science scores. It seems that television is a great equalizer.</w:t>
      </w:r>
    </w:p>
    <w:p>
      <w:r>
        <w:drawing>
          <wp:inline>
            <wp:extent cx="5440680" cy="3444505"/>
            <wp:effectExtent b="0" l="0" r="0" t="0"/>
            <wp:docPr descr="" id="1" name="Picture"/>
            <a:graphic>
              <a:graphicData uri="http://schemas.openxmlformats.org/drawingml/2006/picture">
                <pic:pic>
                  <pic:nvPicPr>
                    <pic:cNvPr descr="shiny-pisa.jpg" id="0" name="Picture"/>
                    <pic:cNvPicPr>
                      <a:picLocks noChangeArrowheads="1" noChangeAspect="1"/>
                    </pic:cNvPicPr>
                  </pic:nvPicPr>
                  <pic:blipFill>
                    <a:blip r:embed="rId48"/>
                    <a:stretch>
                      <a:fillRect/>
                    </a:stretch>
                  </pic:blipFill>
                  <pic:spPr bwMode="auto">
                    <a:xfrm>
                      <a:off x="0" y="0"/>
                      <a:ext cx="5440680" cy="3444505"/>
                    </a:xfrm>
                    <a:prstGeom prst="rect">
                      <a:avLst/>
                    </a:prstGeom>
                    <a:noFill/>
                    <a:ln w="9525">
                      <a:noFill/>
                      <a:headEnd/>
                      <a:tailEnd/>
                    </a:ln>
                  </pic:spPr>
                </pic:pic>
              </a:graphicData>
            </a:graphic>
          </wp:inline>
        </w:drawing>
      </w:r>
    </w:p>
    <w:p>
      <w:pPr>
        <w:pStyle w:val="ImageCaption"/>
      </w:pPr>
      <w:r>
        <w:t xml:space="preserve">"TVs"</w:t>
      </w:r>
    </w:p>
    <w:p>
      <w:pPr>
        <w:pStyle w:val="Heading3"/>
      </w:pPr>
      <w:bookmarkStart w:id="49" w:name="play-with-the-data-yourself."/>
      <w:bookmarkEnd w:id="49"/>
      <w:r>
        <w:t xml:space="preserve">Play with the data yourself.</w:t>
      </w:r>
    </w:p>
    <w:p>
      <w:r>
        <w:t xml:space="preserve">The PISA dataset contains hundreds of factors, and this article can describe just a few findings. The reader is welcome to explore the data themselves using an</w:t>
      </w:r>
      <w:r>
        <w:t xml:space="preserve"> </w:t>
      </w:r>
      <w:hyperlink r:id="rId50">
        <w:r>
          <w:rPr>
            <w:rStyle w:val="Link"/>
          </w:rPr>
          <w:t xml:space="preserve">interactive web tool</w:t>
        </w:r>
      </w:hyperlink>
      <w:r>
        <w:t xml:space="preserve">, made with RStudio's</w:t>
      </w:r>
      <w:r>
        <w:t xml:space="preserve"> </w:t>
      </w:r>
      <w:hyperlink r:id="rId51">
        <w:r>
          <w:rPr>
            <w:rStyle w:val="Link"/>
          </w:rPr>
          <w:t xml:space="preserve">Shiny</w:t>
        </w:r>
      </w:hyperlink>
      <w:r>
        <w:t xml:space="preserve">. Shiny is a open-source tool that allows an investigator to create web-based appications powered by R.</w:t>
      </w:r>
    </w:p>
    <w:p>
      <w:pPr>
        <w:pStyle w:val="Heading1"/>
      </w:pPr>
      <w:bookmarkStart w:id="52" w:name="summary"/>
      <w:bookmarkEnd w:id="52"/>
      <w:r>
        <w:t xml:space="preserve">Summary</w:t>
      </w:r>
    </w:p>
    <w:p>
      <w:r>
        <w:t xml:space="preserve">Overall, we have seen that there are many factors that affect the average math scores, but the major source of variation in the data is from individual to individual. You as a person are more than your demographic - you count, your individual efforts matter.</w:t>
      </w:r>
    </w:p>
    <w:p>
      <w:pPr>
        <w:pStyle w:val="Heading3"/>
      </w:pPr>
      <w:bookmarkStart w:id="53" w:name="acknowledgements"/>
      <w:bookmarkEnd w:id="53"/>
      <w:r>
        <w:t xml:space="preserve">Acknowledgements</w:t>
      </w:r>
    </w:p>
    <w:p>
      <w:r>
        <w:t xml:space="preserve">The following R packages were used to conduct the data exploration: shiny, plyr, dplyr, ggplot2, stringr, reshape2, lubridate, maps, ggmap, htmltools, rworldmap, grid, scales, doBy.</w:t>
      </w:r>
    </w:p>
    <w:p>
      <w:pPr>
        <w:pStyle w:val="Heading3"/>
      </w:pPr>
      <w:bookmarkStart w:id="54" w:name="reference"/>
      <w:bookmarkEnd w:id="54"/>
      <w:r>
        <w:t xml:space="preserve">Reference</w:t>
      </w:r>
    </w:p>
    <w:p>
      <w:r>
        <w:t xml:space="preserve">OECD (2014) "Pisa 2012 results in focus: What 15-year-olds know and what they can do with what they know." Technical Report, Organization for Economic Development and Cooperation.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aa9d88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8" Target="media/rId48.jpg" /><Relationship Type="http://schemas.openxmlformats.org/officeDocument/2006/relationships/hyperlink" Id="rId50" Target="http://bit.ly/pisa2012_explorer" TargetMode="External" /><Relationship Type="http://schemas.openxmlformats.org/officeDocument/2006/relationships/hyperlink" Id="rId51" Target="http://shiny.rstudio.com" TargetMode="External" /></Relationships>
</file>

<file path=word/_rels/footnotes.xml.rels><?xml version="1.0" encoding="UTF-8"?>
<Relationships xmlns="http://schemas.openxmlformats.org/package/2006/relationships"><Relationship Type="http://schemas.openxmlformats.org/officeDocument/2006/relationships/hyperlink" Id="rId50" Target="http://bit.ly/pisa2012_explorer" TargetMode="External" /><Relationship Type="http://schemas.openxmlformats.org/officeDocument/2006/relationships/hyperlink" Id="rId51" Target="http://shiny.rstudio.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