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9.0 -->
  <w:body>
    <w:p w:rsidR="006E56CB" w:rsidP="00E6533D">
      <w:pPr>
        <w:pStyle w:val="Title"/>
        <w:spacing w:before="0" w:line="24" w:lineRule="atLeast"/>
        <w:rPr>
          <w:noProof/>
          <w:lang w:val="en-US"/>
        </w:rPr>
      </w:pPr>
      <w:r>
        <w:rPr>
          <w:noProof/>
          <w:lang w:val="en-US"/>
        </w:rPr>
        <w:pict>
          <v:shapetype id="_x0000_t202" coordsize="21600,21600" o:spt="202" path="m,l,21600r21600,l21600,xe">
            <v:stroke joinstyle="miter"/>
            <v:path gradientshapeok="t" o:connecttype="rect"/>
          </v:shapetype>
          <v:shape id="_x0000_s1025" type="#_x0000_t202" style="width:327.75pt;height:40.2pt;margin-top:-38.45pt;margin-left:-1.25pt;position:absolute;visibility:visible;z-index:251661312" stroked="f">
            <v:textbox>
              <w:txbxContent>
                <w:p w:rsidR="004A0722" w:rsidRPr="00A27D7B" w:rsidP="006E56CB">
                  <w:pPr>
                    <w:bidi/>
                    <w:spacing w:after="60" w:line="240" w:lineRule="auto"/>
                    <w:jc w:val="right"/>
                    <w:rPr>
                      <w:rFonts w:asciiTheme="majorBidi" w:hAnsiTheme="majorBidi" w:cstheme="majorBidi"/>
                      <w:i/>
                      <w:iCs/>
                      <w:sz w:val="20"/>
                      <w:szCs w:val="20"/>
                      <w:lang w:val="en-US"/>
                    </w:rPr>
                  </w:pPr>
                  <w:r w:rsidRPr="00A27D7B">
                    <w:rPr>
                      <w:rFonts w:asciiTheme="majorBidi" w:hAnsiTheme="majorBidi" w:cstheme="majorBidi"/>
                      <w:i/>
                      <w:iCs/>
                      <w:sz w:val="20"/>
                      <w:szCs w:val="20"/>
                      <w:lang w:val="en-US"/>
                    </w:rPr>
                    <w:t>Islamic Insight</w:t>
                  </w:r>
                  <w:r>
                    <w:rPr>
                      <w:rFonts w:asciiTheme="majorBidi" w:hAnsiTheme="majorBidi" w:cstheme="majorBidi"/>
                      <w:i/>
                      <w:iCs/>
                      <w:sz w:val="20"/>
                      <w:szCs w:val="20"/>
                      <w:lang w:val="en-US"/>
                    </w:rPr>
                    <w:t xml:space="preserve"> </w:t>
                  </w:r>
                  <w:r w:rsidRPr="00A27D7B">
                    <w:rPr>
                      <w:rFonts w:asciiTheme="majorBidi" w:hAnsiTheme="majorBidi" w:cstheme="majorBidi"/>
                      <w:i/>
                      <w:iCs/>
                      <w:sz w:val="18"/>
                      <w:szCs w:val="18"/>
                      <w:lang w:val="en-US"/>
                    </w:rPr>
                    <w:t>Vol.</w:t>
                  </w:r>
                  <w:r>
                    <w:rPr>
                      <w:rFonts w:asciiTheme="majorBidi" w:hAnsiTheme="majorBidi" w:cstheme="majorBidi"/>
                      <w:i/>
                      <w:iCs/>
                      <w:sz w:val="18"/>
                      <w:szCs w:val="18"/>
                      <w:lang w:val="en-US"/>
                    </w:rPr>
                    <w:t xml:space="preserve"> 7, </w:t>
                  </w:r>
                  <w:r w:rsidRPr="00A27D7B">
                    <w:rPr>
                      <w:rFonts w:asciiTheme="majorBidi" w:hAnsiTheme="majorBidi" w:cstheme="majorBidi"/>
                      <w:i/>
                      <w:iCs/>
                      <w:sz w:val="18"/>
                      <w:szCs w:val="18"/>
                      <w:lang w:val="en-US"/>
                    </w:rPr>
                    <w:t>No.</w:t>
                  </w:r>
                  <w:r>
                    <w:rPr>
                      <w:rFonts w:asciiTheme="majorBidi" w:hAnsiTheme="majorBidi" w:cstheme="majorBidi"/>
                      <w:i/>
                      <w:iCs/>
                      <w:sz w:val="18"/>
                      <w:szCs w:val="18"/>
                      <w:lang w:val="en-US"/>
                    </w:rPr>
                    <w:t xml:space="preserve"> </w:t>
                  </w:r>
                  <w:r w:rsidRPr="00A27D7B">
                    <w:rPr>
                      <w:rFonts w:asciiTheme="majorBidi" w:hAnsiTheme="majorBidi" w:cstheme="majorBidi"/>
                      <w:i/>
                      <w:iCs/>
                      <w:sz w:val="18"/>
                      <w:szCs w:val="18"/>
                      <w:lang w:val="en-US"/>
                    </w:rPr>
                    <w:t>2</w:t>
                  </w:r>
                  <w:r>
                    <w:rPr>
                      <w:rFonts w:asciiTheme="majorBidi" w:hAnsiTheme="majorBidi" w:cstheme="majorBidi"/>
                      <w:i/>
                      <w:iCs/>
                      <w:sz w:val="18"/>
                      <w:szCs w:val="18"/>
                      <w:lang w:val="en-US"/>
                    </w:rPr>
                    <w:t xml:space="preserve"> </w:t>
                  </w:r>
                  <w:r w:rsidRPr="00A27D7B">
                    <w:rPr>
                      <w:rFonts w:asciiTheme="majorBidi" w:hAnsiTheme="majorBidi" w:cstheme="majorBidi"/>
                      <w:i/>
                      <w:iCs/>
                      <w:sz w:val="18"/>
                      <w:szCs w:val="18"/>
                      <w:lang w:val="en-US"/>
                    </w:rPr>
                    <w:t>(20</w:t>
                  </w:r>
                  <w:r>
                    <w:rPr>
                      <w:rFonts w:asciiTheme="majorBidi" w:hAnsiTheme="majorBidi" w:cstheme="majorBidi"/>
                      <w:i/>
                      <w:iCs/>
                      <w:sz w:val="18"/>
                      <w:szCs w:val="18"/>
                      <w:lang w:val="en-US"/>
                    </w:rPr>
                    <w:t>24</w:t>
                  </w:r>
                  <w:r w:rsidRPr="00A27D7B">
                    <w:rPr>
                      <w:rFonts w:asciiTheme="majorBidi" w:hAnsiTheme="majorBidi" w:cstheme="majorBidi"/>
                      <w:i/>
                      <w:iCs/>
                      <w:sz w:val="18"/>
                      <w:szCs w:val="18"/>
                      <w:lang w:val="en-US"/>
                    </w:rPr>
                    <w:t>) (</w:t>
                  </w:r>
                  <w:r>
                    <w:rPr>
                      <w:rFonts w:asciiTheme="majorBidi" w:hAnsiTheme="majorBidi" w:cstheme="majorBidi"/>
                      <w:i/>
                      <w:iCs/>
                      <w:sz w:val="18"/>
                      <w:szCs w:val="18"/>
                      <w:lang w:val="en-US"/>
                    </w:rPr>
                    <w:t xml:space="preserve">34 </w:t>
                  </w:r>
                  <w:r w:rsidRPr="00A27D7B">
                    <w:rPr>
                      <w:rFonts w:asciiTheme="majorBidi" w:hAnsiTheme="majorBidi" w:cstheme="majorBidi"/>
                      <w:i/>
                      <w:iCs/>
                      <w:sz w:val="18"/>
                      <w:szCs w:val="18"/>
                      <w:lang w:val="en-US"/>
                    </w:rPr>
                    <w:t>–</w:t>
                  </w:r>
                  <w:r>
                    <w:rPr>
                      <w:rFonts w:asciiTheme="majorBidi" w:hAnsiTheme="majorBidi" w:cstheme="majorBidi"/>
                      <w:i/>
                      <w:iCs/>
                      <w:sz w:val="18"/>
                      <w:szCs w:val="18"/>
                      <w:lang w:val="en-US"/>
                    </w:rPr>
                    <w:t xml:space="preserve"> 58</w:t>
                  </w:r>
                  <w:r w:rsidRPr="00A27D7B">
                    <w:rPr>
                      <w:rFonts w:asciiTheme="majorBidi" w:hAnsiTheme="majorBidi" w:cstheme="majorBidi"/>
                      <w:i/>
                      <w:iCs/>
                      <w:sz w:val="18"/>
                      <w:szCs w:val="18"/>
                      <w:lang w:val="en-US"/>
                    </w:rPr>
                    <w:t>)</w:t>
                  </w:r>
                </w:p>
                <w:p w:rsidR="004A0722" w:rsidRPr="00A27D7B" w:rsidP="00275246">
                  <w:pPr>
                    <w:bidi/>
                    <w:jc w:val="right"/>
                    <w:rPr>
                      <w:rFonts w:asciiTheme="majorBidi" w:hAnsiTheme="majorBidi" w:cstheme="majorBidi"/>
                      <w:i/>
                      <w:iCs/>
                      <w:sz w:val="18"/>
                      <w:szCs w:val="18"/>
                      <w:lang w:val="en-US"/>
                    </w:rPr>
                  </w:pPr>
                  <w:r w:rsidRPr="00A27D7B">
                    <w:rPr>
                      <w:rFonts w:asciiTheme="majorBidi" w:hAnsiTheme="majorBidi" w:cstheme="majorBidi"/>
                      <w:i/>
                      <w:iCs/>
                      <w:sz w:val="18"/>
                      <w:szCs w:val="18"/>
                    </w:rPr>
                    <w:t xml:space="preserve">ISSN: </w:t>
                  </w:r>
                  <w:r w:rsidRPr="00A27D7B">
                    <w:rPr>
                      <w:rFonts w:asciiTheme="majorBidi" w:hAnsiTheme="majorBidi" w:cstheme="majorBidi"/>
                      <w:i/>
                      <w:iCs/>
                      <w:sz w:val="18"/>
                      <w:szCs w:val="18"/>
                      <w:lang w:val="en-US"/>
                    </w:rPr>
                    <w:t>2581­3269</w:t>
                  </w:r>
                </w:p>
                <w:p w:rsidR="004A0722" w:rsidP="00275246">
                  <w:pPr>
                    <w:bidi/>
                    <w:jc w:val="right"/>
                  </w:pPr>
                </w:p>
              </w:txbxContent>
            </v:textbox>
          </v:shape>
        </w:pict>
      </w:r>
    </w:p>
    <w:p w:rsidR="00E6533D" w:rsidP="00E6533D">
      <w:pPr>
        <w:pStyle w:val="Title"/>
        <w:spacing w:line="24" w:lineRule="atLeast"/>
      </w:pPr>
      <w:r>
        <w:rPr>
          <w:noProof/>
          <w:lang w:val="en-US"/>
        </w:rPr>
        <w:t>ḤADĪTH</w:t>
      </w:r>
      <w:r w:rsidRPr="000D410A">
        <w:rPr>
          <w:noProof/>
          <w:lang w:val="en-US"/>
        </w:rPr>
        <w:t xml:space="preserve"> OF SELF-KNOWING BETWEEN SUFIS AND </w:t>
      </w:r>
      <w:r>
        <w:rPr>
          <w:noProof/>
          <w:lang w:val="en-US"/>
        </w:rPr>
        <w:t>ḤADĪTH</w:t>
      </w:r>
      <w:r w:rsidRPr="000D410A">
        <w:rPr>
          <w:noProof/>
          <w:lang w:val="en-US"/>
        </w:rPr>
        <w:t xml:space="preserve"> SCHOLARS</w:t>
      </w:r>
    </w:p>
    <w:p w:rsidR="00E6533D" w:rsidP="00E6533D">
      <w:pPr>
        <w:pStyle w:val="authorname"/>
        <w:spacing w:line="24" w:lineRule="atLeast"/>
        <w:sectPr w:rsidSect="00E6533D">
          <w:headerReference w:type="even" r:id="rId6"/>
          <w:headerReference w:type="default" r:id="rId7"/>
          <w:footerReference w:type="even" r:id="rId8"/>
          <w:footnotePr>
            <w:numStart w:val="3"/>
            <w:numRestart w:val="eachPage"/>
          </w:footnotePr>
          <w:type w:val="continuous"/>
          <w:pgSz w:w="9072" w:h="13608"/>
          <w:pgMar w:top="1440" w:right="1440" w:bottom="1440" w:left="1440" w:header="720" w:footer="720" w:gutter="0"/>
          <w:pgNumType w:start="34"/>
          <w:cols w:space="720"/>
          <w:titlePg w:val="0"/>
          <w:docGrid w:linePitch="360"/>
        </w:sectPr>
      </w:pPr>
    </w:p>
    <w:p w:rsidR="00E6533D" w:rsidP="003A5735">
      <w:pPr>
        <w:pStyle w:val="Heading2"/>
        <w:spacing w:line="24" w:lineRule="atLeast"/>
        <w:rPr>
          <w:b/>
          <w:bCs/>
        </w:rPr>
      </w:pPr>
      <w:r w:rsidRPr="000D410A">
        <w:rPr>
          <w:b/>
          <w:bCs/>
        </w:rPr>
        <w:t>Muhammad Gufran-ul-Haqu</w:t>
      </w:r>
      <w:r w:rsidR="003A5735">
        <w:rPr>
          <w:b/>
          <w:bCs/>
        </w:rPr>
        <w:t>e</w:t>
      </w:r>
      <w:r>
        <w:rPr>
          <w:rStyle w:val="FootnoteReference"/>
          <w:b/>
          <w:bCs/>
        </w:rPr>
        <w:footnoteReference w:id="2"/>
      </w:r>
    </w:p>
    <w:p w:rsidR="00E6533D" w:rsidRPr="000D410A" w:rsidP="00E6533D">
      <w:pPr>
        <w:spacing w:line="24" w:lineRule="atLeast"/>
      </w:pPr>
    </w:p>
    <w:p w:rsidR="00E6533D" w:rsidRPr="000D410A" w:rsidP="00E6533D">
      <w:pPr>
        <w:pStyle w:val="Heading2"/>
        <w:spacing w:line="24" w:lineRule="atLeast"/>
        <w:rPr>
          <w:b/>
          <w:bCs/>
          <w:sz w:val="24"/>
          <w:szCs w:val="24"/>
        </w:rPr>
      </w:pPr>
      <w:r w:rsidRPr="000D410A">
        <w:rPr>
          <w:b/>
          <w:bCs/>
          <w:sz w:val="24"/>
          <w:szCs w:val="24"/>
        </w:rPr>
        <w:t xml:space="preserve">Abstract: </w:t>
      </w:r>
    </w:p>
    <w:p w:rsidR="00E6533D" w:rsidRPr="005461BA" w:rsidP="00E6533D">
      <w:pPr>
        <w:pStyle w:val="Heading2"/>
        <w:spacing w:line="24" w:lineRule="atLeast"/>
      </w:pPr>
      <w:r w:rsidRPr="000D410A">
        <w:t>This paper examines the "</w:t>
      </w:r>
      <w:r>
        <w:t>Ḥadīth</w:t>
      </w:r>
      <w:r w:rsidRPr="000D410A">
        <w:t xml:space="preserve"> of Self-knowing," often quoted as “Whoever knows himself, knows his Lord,” a saying that has profoundly influenced Islamic thought, particularly within Sufi and </w:t>
      </w:r>
      <w:r>
        <w:t>Ḥadīth</w:t>
      </w:r>
      <w:r w:rsidRPr="000D410A">
        <w:t xml:space="preserve"> scholarship. Tracing its origins through Takhrīj methodology, the study evaluates its authenticity, revealing a divergence between Sufi mystics and </w:t>
      </w:r>
      <w:r>
        <w:t>Ḥadīth</w:t>
      </w:r>
      <w:r w:rsidRPr="000D410A">
        <w:t xml:space="preserve"> scholars. While Sufis authenticate the narration through kashf (spiritual disclosure), dreams, and ilhām (divine inspiration), </w:t>
      </w:r>
      <w:r>
        <w:t>Ḥadīth</w:t>
      </w:r>
      <w:r w:rsidRPr="000D410A">
        <w:t xml:space="preserve"> scholars challenge its legitimacy based on classical methodologies. Despite these differences, both groups recognize the spiritual and ethical significance of the saying. The research also deals the interpretative approaches, highlighting Sufis' metaphysical and mystical readings that emphasize self-awareness as a pathway to Allah, contrasted with </w:t>
      </w:r>
      <w:r>
        <w:t>Ḥadīth</w:t>
      </w:r>
      <w:r w:rsidRPr="000D410A">
        <w:t xml:space="preserve"> scholars’ focus on practical applications for broader Muslim society. This comparative analysis underscores the distinct methodologies and epistemologies shaping Islamic perspectives on self-knowledge and divine understanding.</w:t>
      </w:r>
    </w:p>
    <w:p w:rsidR="00E6533D" w:rsidRPr="00317219" w:rsidP="00E6533D">
      <w:pPr>
        <w:pStyle w:val="keywords"/>
        <w:spacing w:line="24" w:lineRule="atLeast"/>
      </w:pPr>
      <w:r w:rsidRPr="00A0368F">
        <w:rPr>
          <w:b/>
          <w:bCs/>
        </w:rPr>
        <w:t>Keywords:</w:t>
      </w:r>
      <w:r>
        <w:t xml:space="preserve"> </w:t>
      </w:r>
      <w:r w:rsidRPr="000D410A">
        <w:t xml:space="preserve">Self-knowing, </w:t>
      </w:r>
      <w:r>
        <w:t>Ḥadīth</w:t>
      </w:r>
      <w:r w:rsidRPr="000D410A">
        <w:t xml:space="preserve"> authenticit</w:t>
      </w:r>
      <w:r>
        <w:t xml:space="preserve">y, Sufi mysticism, kashf, ilhām, </w:t>
      </w:r>
      <w:r w:rsidRPr="000D410A">
        <w:t xml:space="preserve">Takhrīj, form of </w:t>
      </w:r>
      <w:r>
        <w:t>Ḥadīth.</w:t>
      </w:r>
    </w:p>
    <w:p w:rsidR="00E6533D" w:rsidP="00E6533D">
      <w:pPr>
        <w:spacing w:line="24" w:lineRule="atLeast"/>
        <w:rPr>
          <w:rFonts w:asciiTheme="majorBidi" w:hAnsiTheme="majorBidi" w:cstheme="majorBidi"/>
          <w:sz w:val="24"/>
          <w:szCs w:val="24"/>
        </w:rPr>
      </w:pPr>
    </w:p>
    <w:p w:rsidR="00E6533D" w:rsidP="00E6533D">
      <w:pPr>
        <w:pStyle w:val="3-SubHead2"/>
        <w:spacing w:line="24" w:lineRule="atLeast"/>
        <w:sectPr w:rsidSect="00CB56D7">
          <w:footnotePr>
            <w:numFmt w:val="chicago"/>
            <w:numStart w:val="3"/>
            <w:numRestart w:val="eachPage"/>
          </w:footnotePr>
          <w:type w:val="continuous"/>
          <w:pgSz w:w="9072" w:h="13608"/>
          <w:pgMar w:top="1440" w:right="1440" w:bottom="1440" w:left="1440" w:header="720" w:footer="720" w:gutter="0"/>
          <w:cols w:space="720"/>
          <w:titlePg/>
          <w:docGrid w:linePitch="360"/>
        </w:sectPr>
      </w:pPr>
      <w:bookmarkStart w:id="0" w:name="_Toc90914428"/>
    </w:p>
    <w:p w:rsidR="00E6533D" w:rsidRPr="005C5483" w:rsidP="00E6533D">
      <w:pPr>
        <w:pStyle w:val="3-SubHead2"/>
        <w:spacing w:line="24" w:lineRule="atLeast"/>
      </w:pPr>
      <w:r>
        <w:rPr>
          <w:noProof/>
          <w:lang w:val="en-US"/>
        </w:rPr>
        <w:pict>
          <v:shape id="_x0000_s1026" type="#_x0000_t202" style="width:321.45pt;height:22.3pt;margin-top:-36pt;margin-left:-6.1pt;position:absolute;z-index:251674624" filled="f" stroked="f">
            <v:textbox>
              <w:txbxContent>
                <w:p w:rsidR="00CA1D82" w:rsidRPr="00E157F6" w:rsidP="00FE7EE4">
                  <w:pPr>
                    <w:rPr>
                      <w:rFonts w:asciiTheme="majorBidi" w:hAnsiTheme="majorBidi" w:cstheme="majorBidi"/>
                      <w:color w:val="808080" w:themeColor="background1" w:themeShade="80"/>
                      <w:sz w:val="18"/>
                      <w:szCs w:val="18"/>
                    </w:rPr>
                  </w:pPr>
                  <w:r w:rsidRPr="00E157F6">
                    <w:rPr>
                      <w:rFonts w:asciiTheme="majorBidi" w:hAnsiTheme="majorBidi" w:cstheme="majorBidi"/>
                      <w:color w:val="808080" w:themeColor="background1" w:themeShade="80"/>
                      <w:sz w:val="18"/>
                      <w:szCs w:val="18"/>
                    </w:rPr>
                    <w:t xml:space="preserve">Ḥadīth of Self-Knowing/ </w:t>
                  </w:r>
                  <w:r w:rsidRPr="00E157F6" w:rsidR="00E157F6">
                    <w:rPr>
                      <w:rFonts w:asciiTheme="majorBidi" w:hAnsiTheme="majorBidi" w:cstheme="majorBidi"/>
                      <w:color w:val="808080" w:themeColor="background1" w:themeShade="80"/>
                      <w:sz w:val="18"/>
                      <w:szCs w:val="18"/>
                    </w:rPr>
                    <w:t>Muhammad Gufran-ul-Haque</w:t>
                  </w:r>
                  <w:r w:rsidRPr="00E157F6">
                    <w:rPr>
                      <w:rFonts w:asciiTheme="majorBidi" w:hAnsiTheme="majorBidi" w:cstheme="majorBidi"/>
                      <w:color w:val="808080" w:themeColor="background1" w:themeShade="80"/>
                      <w:sz w:val="18"/>
                      <w:szCs w:val="18"/>
                    </w:rPr>
                    <w:t xml:space="preserve"> </w:t>
                  </w:r>
                  <w:r w:rsidR="00E157F6">
                    <w:rPr>
                      <w:rFonts w:asciiTheme="majorBidi" w:hAnsiTheme="majorBidi" w:cstheme="majorBidi"/>
                      <w:color w:val="808080" w:themeColor="background1" w:themeShade="80"/>
                      <w:sz w:val="18"/>
                      <w:szCs w:val="18"/>
                    </w:rPr>
                    <w:t xml:space="preserve">                                          35  </w:t>
                  </w:r>
                </w:p>
              </w:txbxContent>
            </v:textbox>
          </v:shape>
        </w:pict>
      </w:r>
      <w:r w:rsidRPr="00072861" w:rsidR="00E6533D">
        <w:t>Indroduction</w:t>
      </w:r>
      <w:bookmarkEnd w:id="0"/>
    </w:p>
    <w:p w:rsidR="00E6533D" w:rsidP="00E6533D">
      <w:pPr>
        <w:pStyle w:val="1-1STPARA"/>
        <w:spacing w:line="24" w:lineRule="atLeast"/>
      </w:pPr>
      <w:r>
        <w:t xml:space="preserve">The ḥadīth maʿrifat al-nafs, often </w:t>
      </w:r>
      <w:r w:rsidR="00382341">
        <w:t>translated,</w:t>
      </w:r>
      <w:r>
        <w:t xml:space="preserve"> as “He who knows himself, knows his Lord,” is a frequently cited narration in the works of prominent Sufi shaykhs, attributed to the Prophet in varying forms and interpretations. This narration, central to the Sufi tradition, has become a subject of both mystical reflection and scholarly scrutiny. Sufi shaykhs often regard the Ḥadīth as authentic, asserting its legitimacy through kashf (divine disclosure), dreams, and ilhām (divine inspiration). This approach diverges from the traditional science of Ḥadīth, where scholars rely on chains of transmission (isnād) and corroborating evidence to determine authenticity.</w:t>
      </w:r>
    </w:p>
    <w:p w:rsidR="00E6533D" w:rsidP="00E6533D">
      <w:pPr>
        <w:pStyle w:val="1-1STPARA"/>
        <w:spacing w:line="24" w:lineRule="atLeast"/>
        <w:ind w:firstLine="720"/>
      </w:pPr>
      <w:r>
        <w:t>This article explores the contrasting methodologies employed by Sufi shaykhs and Ḥadīth scholars concerning the transmission and validation of this narration. Sufi authorities claim that experiential insights can confirm a Ḥadīth's authenticity, even in the absence of conventional chains. Some Ḥadīth scholars, however, argue that without adherence to established methodologies, such narrations remain unreliable and cannot be accepted as prophetic sayings. Others adopt a more moderate perspective, suggesting that inspired insights may be acceptable if they align with sharīʿa (Islamic law) and do not contradict its legal principles. A further subset of scholars, however, maintains that kashf or dreams may indeed serve as a legitimate basis for deeming a Ḥadīth sound.</w:t>
      </w:r>
    </w:p>
    <w:p w:rsidR="00E6533D" w:rsidP="00E6533D">
      <w:pPr>
        <w:pStyle w:val="1-1STPARA"/>
        <w:spacing w:line="24" w:lineRule="atLeast"/>
        <w:ind w:firstLine="720"/>
      </w:pPr>
      <w:r>
        <w:t>Conversely, Ḥadīth scholars, employing classical authentication criteria, generally classify this narration as mawḍūʿ (fabricated) or as a statement attributed to a companion (ṣaḥābī) or follower (tābiʿ). Their consensus holds that it cannot be definitively attributed to the Prophet. Despite this divergence, both Sufi and Ḥadīth scholars acknowledge the profound meaning embedded in the notion of self-knowing as a pathway to divine knowledge. Sufi perspectives emphasize the metaphysical and transformative implications of this idea, while Ḥadīth scholars approach it from a more practical standpoint, underscoring its relevance for individual self-reflection and moral growth.</w:t>
      </w:r>
    </w:p>
    <w:p w:rsidR="00E6533D" w:rsidRPr="005C5483" w:rsidP="00E6533D">
      <w:pPr>
        <w:pStyle w:val="1-1STPARA"/>
        <w:spacing w:line="24" w:lineRule="atLeast"/>
        <w:ind w:firstLine="720"/>
        <w:rPr>
          <w:szCs w:val="26"/>
        </w:rPr>
      </w:pPr>
    </w:p>
    <w:p w:rsidR="00E6533D" w:rsidP="00E6533D">
      <w:pPr>
        <w:pStyle w:val="1-1STPARA"/>
        <w:spacing w:line="24" w:lineRule="atLeast"/>
        <w:rPr>
          <w:rFonts w:eastAsia="Times New Roman"/>
          <w:b/>
          <w:sz w:val="24"/>
          <w:szCs w:val="24"/>
          <w:shd w:val="clear" w:color="auto" w:fill="auto"/>
        </w:rPr>
      </w:pPr>
      <w:r w:rsidRPr="000D410A">
        <w:rPr>
          <w:rFonts w:eastAsia="Times New Roman"/>
          <w:b/>
          <w:sz w:val="24"/>
          <w:szCs w:val="24"/>
          <w:shd w:val="clear" w:color="auto" w:fill="auto"/>
        </w:rPr>
        <w:t xml:space="preserve">Takhrīj of the </w:t>
      </w:r>
      <w:r>
        <w:rPr>
          <w:rFonts w:eastAsia="Times New Roman"/>
          <w:b/>
          <w:sz w:val="24"/>
          <w:szCs w:val="24"/>
          <w:shd w:val="clear" w:color="auto" w:fill="auto"/>
        </w:rPr>
        <w:t>Ḥadīth</w:t>
      </w:r>
      <w:r w:rsidRPr="000D410A">
        <w:rPr>
          <w:rFonts w:eastAsia="Times New Roman"/>
          <w:b/>
          <w:sz w:val="24"/>
          <w:szCs w:val="24"/>
          <w:shd w:val="clear" w:color="auto" w:fill="auto"/>
        </w:rPr>
        <w:t xml:space="preserve"> of Self-Knowing </w:t>
      </w:r>
    </w:p>
    <w:p w:rsidR="00E6533D" w:rsidP="00E6533D">
      <w:pPr>
        <w:pStyle w:val="3-SubHead2"/>
        <w:spacing w:line="24" w:lineRule="atLeast"/>
        <w:rPr>
          <w:b w:val="0"/>
          <w:sz w:val="22"/>
          <w:szCs w:val="22"/>
          <w:shd w:val="clear" w:color="auto" w:fill="FFFFFF"/>
        </w:rPr>
      </w:pPr>
      <w:bookmarkStart w:id="1" w:name="_Toc90914432"/>
      <w:r w:rsidRPr="000D410A">
        <w:rPr>
          <w:b w:val="0"/>
          <w:sz w:val="22"/>
          <w:szCs w:val="22"/>
          <w:shd w:val="clear" w:color="auto" w:fill="FFFFFF"/>
        </w:rPr>
        <w:t xml:space="preserve">In Sunni scholarship, </w:t>
      </w:r>
      <w:r>
        <w:rPr>
          <w:b w:val="0"/>
          <w:sz w:val="22"/>
          <w:szCs w:val="22"/>
          <w:shd w:val="clear" w:color="auto" w:fill="FFFFFF"/>
        </w:rPr>
        <w:t>Ḥadīth</w:t>
      </w:r>
      <w:r w:rsidRPr="000D410A">
        <w:rPr>
          <w:b w:val="0"/>
          <w:sz w:val="22"/>
          <w:szCs w:val="22"/>
          <w:shd w:val="clear" w:color="auto" w:fill="FFFFFF"/>
        </w:rPr>
        <w:t xml:space="preserve"> transmission is meticulously analysed through chains of narration (isnād) to determine authenticity. The </w:t>
      </w:r>
      <w:r w:rsidRPr="000D410A">
        <w:rPr>
          <w:b w:val="0"/>
          <w:sz w:val="22"/>
          <w:szCs w:val="22"/>
          <w:shd w:val="clear" w:color="auto" w:fill="FFFFFF"/>
        </w:rPr>
        <w:t xml:space="preserve">canonical collections, known as the six books (al-kutub al-sittah), alongside other primary texts like the Muwaṭṭaʾ of Mālik ibn Anas, are often used as benchmarks for the authenticity of </w:t>
      </w:r>
      <w:r>
        <w:rPr>
          <w:b w:val="0"/>
          <w:sz w:val="22"/>
          <w:szCs w:val="22"/>
          <w:shd w:val="clear" w:color="auto" w:fill="FFFFFF"/>
        </w:rPr>
        <w:t>Ḥadīth</w:t>
      </w:r>
      <w:r w:rsidRPr="000D410A">
        <w:rPr>
          <w:b w:val="0"/>
          <w:sz w:val="22"/>
          <w:szCs w:val="22"/>
          <w:shd w:val="clear" w:color="auto" w:fill="FFFFFF"/>
        </w:rPr>
        <w:t xml:space="preserve">s. However, the </w:t>
      </w:r>
      <w:r>
        <w:rPr>
          <w:b w:val="0"/>
          <w:sz w:val="22"/>
          <w:szCs w:val="22"/>
          <w:shd w:val="clear" w:color="auto" w:fill="FFFFFF"/>
        </w:rPr>
        <w:t>Ḥadīth</w:t>
      </w:r>
      <w:r w:rsidRPr="000D410A">
        <w:rPr>
          <w:b w:val="0"/>
          <w:sz w:val="22"/>
          <w:szCs w:val="22"/>
          <w:shd w:val="clear" w:color="auto" w:fill="FFFFFF"/>
        </w:rPr>
        <w:t xml:space="preserve"> of self-knowing does not appear in these foundational sources, raising questions about its origins and validity as a prophetic tradition. The earliest known source attributing a similar concept to the Prophet Muhammad (peace be upon him) is ṢaḥīḥofIbn Ḥibbān</w:t>
      </w:r>
      <w:r>
        <w:rPr>
          <w:rStyle w:val="FootnoteReference"/>
          <w:b w:val="0"/>
          <w:sz w:val="22"/>
          <w:szCs w:val="22"/>
          <w:shd w:val="clear" w:color="auto" w:fill="FFFFFF"/>
        </w:rPr>
        <w:footnoteReference w:id="3"/>
      </w:r>
      <w:r w:rsidRPr="000D410A">
        <w:rPr>
          <w:b w:val="0"/>
          <w:sz w:val="22"/>
          <w:szCs w:val="22"/>
          <w:shd w:val="clear" w:color="auto" w:fill="FFFFFF"/>
        </w:rPr>
        <w:t xml:space="preserve">, where a </w:t>
      </w:r>
      <w:r>
        <w:rPr>
          <w:b w:val="0"/>
          <w:sz w:val="22"/>
          <w:szCs w:val="22"/>
          <w:shd w:val="clear" w:color="auto" w:fill="FFFFFF"/>
        </w:rPr>
        <w:t>Ḥadīth</w:t>
      </w:r>
      <w:r w:rsidRPr="000D410A">
        <w:rPr>
          <w:b w:val="0"/>
          <w:sz w:val="22"/>
          <w:szCs w:val="22"/>
          <w:shd w:val="clear" w:color="auto" w:fill="FFFFFF"/>
        </w:rPr>
        <w:t xml:space="preserve"> states that reciting Sūrah al-Kāfirūn in the first rakʿah of Fajr prayer signifies knowing Allah (Ibn Ḥibbān, 2012, p. 214). However, this does not directly correspond to the </w:t>
      </w:r>
      <w:r>
        <w:rPr>
          <w:b w:val="0"/>
          <w:sz w:val="22"/>
          <w:szCs w:val="22"/>
          <w:shd w:val="clear" w:color="auto" w:fill="FFFFFF"/>
        </w:rPr>
        <w:t>Ḥadīth</w:t>
      </w:r>
      <w:r w:rsidRPr="000D410A">
        <w:rPr>
          <w:b w:val="0"/>
          <w:sz w:val="22"/>
          <w:szCs w:val="22"/>
          <w:shd w:val="clear" w:color="auto" w:fill="FFFFFF"/>
        </w:rPr>
        <w:t xml:space="preserve"> of self-knowing. Furthermore, extensive searches in early sources from the first two centuries of Islam reveal no record of this specific narration in the canonical collections or in the works of early scholars like al-Bukhārī, Muslim, or Mālik ibn Anas.</w:t>
      </w:r>
    </w:p>
    <w:p w:rsidR="00E6533D" w:rsidRPr="000D410A" w:rsidP="00E6533D">
      <w:pPr>
        <w:pStyle w:val="3-SubHead2"/>
        <w:spacing w:line="24" w:lineRule="atLeast"/>
        <w:rPr>
          <w:b w:val="0"/>
          <w:sz w:val="22"/>
          <w:szCs w:val="22"/>
          <w:shd w:val="clear" w:color="auto" w:fill="FFFFFF"/>
        </w:rPr>
      </w:pPr>
      <w:r>
        <w:rPr>
          <w:b w:val="0"/>
          <w:noProof/>
          <w:sz w:val="22"/>
          <w:szCs w:val="22"/>
          <w:lang w:val="en-US"/>
        </w:rPr>
        <w:pict>
          <v:shape id="_x0000_s1027" type="#_x0000_t202" style="width:38.1pt;height:22.75pt;margin-top:-217.05pt;margin-left:-8.1pt;position:absolute;z-index:251662336" stroked="f">
            <v:textbox>
              <w:txbxContent>
                <w:p w:rsidR="004A0722" w:rsidRPr="00CD7D70" w:rsidP="00CF7C4B">
                  <w:pPr>
                    <w:jc w:val="center"/>
                    <w:rPr>
                      <w:rFonts w:asciiTheme="majorBidi" w:hAnsiTheme="majorBidi" w:cstheme="majorBidi"/>
                      <w:color w:val="7F7F7F" w:themeColor="text1" w:themeTint="80"/>
                      <w:sz w:val="18"/>
                      <w:szCs w:val="18"/>
                      <w:lang w:val="en-US"/>
                    </w:rPr>
                  </w:pPr>
                  <w:r>
                    <w:rPr>
                      <w:rFonts w:asciiTheme="majorBidi" w:hAnsiTheme="majorBidi" w:cstheme="majorBidi"/>
                      <w:color w:val="7F7F7F" w:themeColor="text1" w:themeTint="80"/>
                      <w:sz w:val="18"/>
                      <w:szCs w:val="18"/>
                      <w:lang w:val="en-US"/>
                    </w:rPr>
                    <w:t>36</w:t>
                  </w:r>
                </w:p>
              </w:txbxContent>
            </v:textbox>
          </v:shape>
        </w:pict>
      </w:r>
    </w:p>
    <w:p w:rsidR="00E6533D" w:rsidP="00E6533D">
      <w:pPr>
        <w:pStyle w:val="3-SubHead2"/>
        <w:spacing w:line="24" w:lineRule="atLeast"/>
        <w:rPr>
          <w:b w:val="0"/>
          <w:sz w:val="22"/>
          <w:szCs w:val="22"/>
          <w:shd w:val="clear" w:color="auto" w:fill="FFFFFF"/>
        </w:rPr>
      </w:pPr>
      <w:r w:rsidRPr="000D410A">
        <w:rPr>
          <w:b w:val="0"/>
          <w:sz w:val="22"/>
          <w:szCs w:val="22"/>
          <w:shd w:val="clear" w:color="auto" w:fill="FFFFFF"/>
        </w:rPr>
        <w:tab/>
      </w:r>
    </w:p>
    <w:p w:rsidR="00E6533D" w:rsidP="00E6533D">
      <w:pPr>
        <w:pStyle w:val="3-SubHead2"/>
        <w:spacing w:line="24" w:lineRule="atLeast"/>
        <w:rPr>
          <w:bCs/>
          <w:shd w:val="clear" w:color="auto" w:fill="FFFFFF"/>
        </w:rPr>
      </w:pPr>
      <w:r w:rsidRPr="000D410A">
        <w:rPr>
          <w:bCs/>
          <w:shd w:val="clear" w:color="auto" w:fill="FFFFFF"/>
        </w:rPr>
        <w:t xml:space="preserve">The </w:t>
      </w:r>
      <w:r>
        <w:rPr>
          <w:bCs/>
          <w:shd w:val="clear" w:color="auto" w:fill="FFFFFF"/>
        </w:rPr>
        <w:t>Ḥadīth</w:t>
      </w:r>
      <w:r w:rsidR="002C1155">
        <w:rPr>
          <w:bCs/>
          <w:shd w:val="clear" w:color="auto" w:fill="FFFFFF"/>
        </w:rPr>
        <w:t xml:space="preserve"> of Self-K</w:t>
      </w:r>
      <w:r w:rsidRPr="000D410A">
        <w:rPr>
          <w:bCs/>
          <w:shd w:val="clear" w:color="auto" w:fill="FFFFFF"/>
        </w:rPr>
        <w:t>nowing in Early Sunni Sources</w:t>
      </w:r>
    </w:p>
    <w:p w:rsidR="00E6533D" w:rsidRPr="000D410A" w:rsidP="00E6533D">
      <w:pPr>
        <w:pStyle w:val="3-SubHead2"/>
        <w:spacing w:line="24" w:lineRule="atLeast"/>
        <w:rPr>
          <w:bCs/>
          <w:shd w:val="clear" w:color="auto" w:fill="FFFFFF"/>
        </w:rPr>
      </w:pPr>
    </w:p>
    <w:p w:rsidR="00E6533D" w:rsidRPr="000D410A" w:rsidP="00E6533D">
      <w:pPr>
        <w:pStyle w:val="3-SubHead2"/>
        <w:spacing w:line="24" w:lineRule="atLeast"/>
        <w:rPr>
          <w:b w:val="0"/>
          <w:sz w:val="22"/>
          <w:szCs w:val="22"/>
          <w:shd w:val="clear" w:color="auto" w:fill="FFFFFF"/>
        </w:rPr>
      </w:pPr>
      <w:r w:rsidRPr="000D410A">
        <w:rPr>
          <w:b w:val="0"/>
          <w:sz w:val="22"/>
          <w:szCs w:val="22"/>
          <w:shd w:val="clear" w:color="auto" w:fill="FFFFFF"/>
        </w:rPr>
        <w:t>One of the earliest figures to articulate a similar statement was the Sufi and wise man, Yaḥyā ibn Muʿādh al-Rāzī (d. 257/871)</w:t>
      </w:r>
      <w:r>
        <w:rPr>
          <w:rStyle w:val="FootnoteReference"/>
          <w:b w:val="0"/>
          <w:sz w:val="22"/>
          <w:szCs w:val="22"/>
          <w:shd w:val="clear" w:color="auto" w:fill="FFFFFF"/>
        </w:rPr>
        <w:footnoteReference w:id="4"/>
      </w:r>
      <w:r w:rsidRPr="000D410A">
        <w:rPr>
          <w:b w:val="0"/>
          <w:sz w:val="22"/>
          <w:szCs w:val="22"/>
          <w:shd w:val="clear" w:color="auto" w:fill="FFFFFF"/>
        </w:rPr>
        <w:t xml:space="preserve"> , though not explicitly as a prophetic narration. Al-Khaṭīb al-Baghdādī (d. 463/1071) highlights that Yaḥyā was known for his wisdom, and many of his sayings were collected by his followers (al-Baghdādī, 1997, p. 49), yet he did not attribute this particular statement to the Prophet. This form of the </w:t>
      </w:r>
      <w:r>
        <w:rPr>
          <w:b w:val="0"/>
          <w:sz w:val="22"/>
          <w:szCs w:val="22"/>
          <w:shd w:val="clear" w:color="auto" w:fill="FFFFFF"/>
        </w:rPr>
        <w:t>Ḥadīth</w:t>
      </w:r>
      <w:r w:rsidRPr="000D410A">
        <w:rPr>
          <w:b w:val="0"/>
          <w:sz w:val="22"/>
          <w:szCs w:val="22"/>
          <w:shd w:val="clear" w:color="auto" w:fill="FFFFFF"/>
        </w:rPr>
        <w:t xml:space="preserve"> likely circulated within early Sufi circles as wisdom rather than authenticated prophetic tradition. </w:t>
      </w:r>
    </w:p>
    <w:p w:rsidR="00E6533D" w:rsidP="00DB68A1">
      <w:pPr>
        <w:pStyle w:val="3-SubHead2"/>
        <w:spacing w:line="24" w:lineRule="atLeast"/>
        <w:ind w:firstLine="720"/>
        <w:rPr>
          <w:b w:val="0"/>
          <w:sz w:val="22"/>
          <w:szCs w:val="22"/>
          <w:shd w:val="clear" w:color="auto" w:fill="FFFFFF"/>
        </w:rPr>
      </w:pPr>
      <w:r w:rsidRPr="000D410A">
        <w:rPr>
          <w:b w:val="0"/>
          <w:sz w:val="22"/>
          <w:szCs w:val="22"/>
          <w:shd w:val="clear" w:color="auto" w:fill="FFFFFF"/>
        </w:rPr>
        <w:t xml:space="preserve">Several later Sunni scholars, such as al-Wāḥidī </w:t>
      </w:r>
      <w:r>
        <w:rPr>
          <w:rStyle w:val="FootnoteReference"/>
          <w:b w:val="0"/>
          <w:sz w:val="22"/>
          <w:szCs w:val="22"/>
          <w:shd w:val="clear" w:color="auto" w:fill="FFFFFF"/>
        </w:rPr>
        <w:footnoteReference w:id="5"/>
      </w:r>
      <w:r w:rsidRPr="000D410A">
        <w:rPr>
          <w:b w:val="0"/>
          <w:sz w:val="22"/>
          <w:szCs w:val="22"/>
          <w:shd w:val="clear" w:color="auto" w:fill="FFFFFF"/>
        </w:rPr>
        <w:t>(d. 468/1075) in his al-Wasīṭ, and Sufis like Abū Bakr al-Warrāq (d. 240/854),</w:t>
      </w:r>
      <w:r>
        <w:rPr>
          <w:rStyle w:val="FootnoteReference"/>
          <w:b w:val="0"/>
          <w:sz w:val="22"/>
          <w:szCs w:val="22"/>
          <w:shd w:val="clear" w:color="auto" w:fill="FFFFFF"/>
        </w:rPr>
        <w:footnoteReference w:id="6"/>
      </w:r>
      <w:r w:rsidRPr="000D410A">
        <w:rPr>
          <w:b w:val="0"/>
          <w:sz w:val="22"/>
          <w:szCs w:val="22"/>
          <w:shd w:val="clear" w:color="auto" w:fill="FFFFFF"/>
        </w:rPr>
        <w:t xml:space="preserve"> interpret the saying in terms of self-knowledge leading to recognition of divine attributes (al-Wāḥidī, 1994, p. 214). However, neither explicitly attribute it to the Prophet. In his seminal work, Ḥilyat al-Awliyā’, Abū Nuʿaym al-Asfahānī</w:t>
      </w:r>
      <w:r w:rsidR="00382341">
        <w:rPr>
          <w:b w:val="0"/>
          <w:sz w:val="22"/>
          <w:szCs w:val="22"/>
          <w:shd w:val="clear" w:color="auto" w:fill="FFFFFF"/>
        </w:rPr>
        <w:t xml:space="preserve"> </w:t>
      </w:r>
      <w:r w:rsidRPr="000D410A">
        <w:rPr>
          <w:b w:val="0"/>
          <w:sz w:val="22"/>
          <w:szCs w:val="22"/>
          <w:shd w:val="clear" w:color="auto" w:fill="FFFFFF"/>
        </w:rPr>
        <w:t>(d. 430/1039) includes a statement attributed to Sahl ibn ʿAbd Allāh (d. 283/896), as transmitted by Aḥmad ibn Masrūq</w:t>
      </w:r>
      <w:r>
        <w:rPr>
          <w:rStyle w:val="FootnoteReference"/>
          <w:b w:val="0"/>
          <w:sz w:val="22"/>
          <w:szCs w:val="22"/>
          <w:shd w:val="clear" w:color="auto" w:fill="FFFFFF"/>
        </w:rPr>
        <w:footnoteReference w:id="7"/>
      </w:r>
      <w:r>
        <w:rPr>
          <w:b w:val="0"/>
          <w:sz w:val="22"/>
          <w:szCs w:val="22"/>
          <w:shd w:val="clear" w:color="auto" w:fill="FFFFFF"/>
        </w:rPr>
        <w:t xml:space="preserve"> </w:t>
      </w:r>
      <w:r w:rsidRPr="000D410A">
        <w:rPr>
          <w:b w:val="0"/>
          <w:sz w:val="22"/>
          <w:szCs w:val="22"/>
          <w:shd w:val="clear" w:color="auto" w:fill="FFFFFF"/>
        </w:rPr>
        <w:t>(d. 298/911). According to al-Asfahānī, Sahl (al-Tustarī) was asked to elaborate on his saying: "Whoever knows himself, indeed he has known his Lord." Sahl responded by clarifying, "Whoever recognizes himself in relation to his Lord has truly recognized their Lord within themselves." (</w:t>
      </w:r>
      <w:r w:rsidR="00DB68A1">
        <w:rPr>
          <w:b w:val="0"/>
          <w:sz w:val="22"/>
          <w:szCs w:val="22"/>
          <w:shd w:val="clear" w:color="auto" w:fill="FFFFFF"/>
        </w:rPr>
        <w:t>a</w:t>
      </w:r>
      <w:r w:rsidRPr="000D410A" w:rsidR="00382341">
        <w:rPr>
          <w:b w:val="0"/>
          <w:sz w:val="22"/>
          <w:szCs w:val="22"/>
          <w:shd w:val="clear" w:color="auto" w:fill="FFFFFF"/>
        </w:rPr>
        <w:t>l-Aṣfahānī</w:t>
      </w:r>
      <w:r w:rsidRPr="000D410A">
        <w:rPr>
          <w:b w:val="0"/>
          <w:sz w:val="22"/>
          <w:szCs w:val="22"/>
          <w:shd w:val="clear" w:color="auto" w:fill="FFFFFF"/>
        </w:rPr>
        <w:t>, p. 189) Notably, al-Asfahānī does not attribute this saying to the Prophet Muḥammad, indicating that he considers it a statement of wisdom from Sahl rather than a prophetic tradition. Al-Rāghib al-Aṣfahānī (d. 502/1108) posits that self-knowledge is a crucial aspect of spiritual development. He cites a prophetic tradition, though without a specific chain of transmission, which states, "The eighth point: Whoever knows himself, knows God Almighty, for it is narrated that God did not reveal any book except that it contains: Know yourself, O human, and you will know your Lord." (</w:t>
      </w:r>
      <w:r w:rsidR="00DB68A1">
        <w:rPr>
          <w:b w:val="0"/>
          <w:sz w:val="22"/>
          <w:szCs w:val="22"/>
          <w:shd w:val="clear" w:color="auto" w:fill="FFFFFF"/>
        </w:rPr>
        <w:t>a</w:t>
      </w:r>
      <w:r w:rsidRPr="000D410A" w:rsidR="00382341">
        <w:rPr>
          <w:b w:val="0"/>
          <w:sz w:val="22"/>
          <w:szCs w:val="22"/>
          <w:shd w:val="clear" w:color="auto" w:fill="FFFFFF"/>
        </w:rPr>
        <w:t>l-Rāghib</w:t>
      </w:r>
      <w:r w:rsidRPr="000D410A">
        <w:rPr>
          <w:b w:val="0"/>
          <w:sz w:val="22"/>
          <w:szCs w:val="22"/>
          <w:shd w:val="clear" w:color="auto" w:fill="FFFFFF"/>
        </w:rPr>
        <w:t xml:space="preserve"> al-Iṣfahānī, 1983, p. 20) </w:t>
      </w:r>
    </w:p>
    <w:p w:rsidR="00E6533D" w:rsidP="00E6533D">
      <w:pPr>
        <w:pStyle w:val="3-SubHead2"/>
        <w:spacing w:line="24" w:lineRule="atLeast"/>
        <w:ind w:firstLine="720"/>
        <w:rPr>
          <w:b w:val="0"/>
          <w:sz w:val="22"/>
          <w:szCs w:val="22"/>
          <w:shd w:val="clear" w:color="auto" w:fill="FFFFFF"/>
        </w:rPr>
      </w:pPr>
    </w:p>
    <w:p w:rsidR="00E6533D" w:rsidP="00E6533D">
      <w:pPr>
        <w:pStyle w:val="3-SubHead2"/>
        <w:spacing w:line="24" w:lineRule="atLeast"/>
        <w:ind w:firstLine="720"/>
        <w:rPr>
          <w:b w:val="0"/>
          <w:sz w:val="22"/>
          <w:szCs w:val="22"/>
          <w:shd w:val="clear" w:color="auto" w:fill="FFFFFF"/>
        </w:rPr>
      </w:pPr>
    </w:p>
    <w:p w:rsidR="00E6533D" w:rsidP="00E6533D">
      <w:pPr>
        <w:pStyle w:val="3-SubHead2"/>
        <w:spacing w:line="24" w:lineRule="atLeast"/>
        <w:rPr>
          <w:b w:val="0"/>
          <w:sz w:val="22"/>
          <w:szCs w:val="22"/>
          <w:shd w:val="clear" w:color="auto" w:fill="FFFFFF"/>
        </w:rPr>
      </w:pPr>
    </w:p>
    <w:bookmarkEnd w:id="1"/>
    <w:p w:rsidR="00E6533D" w:rsidRPr="0056508B" w:rsidP="00E6533D">
      <w:pPr>
        <w:pStyle w:val="3-SubHead2"/>
        <w:spacing w:line="24" w:lineRule="atLeast"/>
        <w:rPr>
          <w:shd w:val="clear" w:color="auto" w:fill="FFFFFF"/>
        </w:rPr>
      </w:pPr>
      <w:r>
        <w:rPr>
          <w:noProof/>
          <w:lang w:val="en-US"/>
        </w:rPr>
        <w:pict>
          <v:shape id="_x0000_s1028" type="#_x0000_t202" style="width:38.1pt;height:22.75pt;margin-top:-39.95pt;margin-left:-12.85pt;position:absolute;z-index:251663360" stroked="f">
            <v:textbox>
              <w:txbxContent>
                <w:p w:rsidR="004A0722" w:rsidRPr="00CD7D70" w:rsidP="003669E4">
                  <w:pPr>
                    <w:jc w:val="center"/>
                    <w:rPr>
                      <w:rFonts w:asciiTheme="majorBidi" w:hAnsiTheme="majorBidi" w:cstheme="majorBidi"/>
                      <w:color w:val="7F7F7F" w:themeColor="text1" w:themeTint="80"/>
                      <w:sz w:val="18"/>
                      <w:szCs w:val="18"/>
                      <w:lang w:val="en-US"/>
                    </w:rPr>
                  </w:pPr>
                  <w:r>
                    <w:rPr>
                      <w:rFonts w:asciiTheme="majorBidi" w:hAnsiTheme="majorBidi" w:cstheme="majorBidi"/>
                      <w:color w:val="7F7F7F" w:themeColor="text1" w:themeTint="80"/>
                      <w:sz w:val="18"/>
                      <w:szCs w:val="18"/>
                      <w:lang w:val="en-US"/>
                    </w:rPr>
                    <w:t>38</w:t>
                  </w:r>
                </w:p>
              </w:txbxContent>
            </v:textbox>
          </v:shape>
        </w:pict>
      </w:r>
      <w:r w:rsidRPr="005965AA" w:rsidR="00E6533D">
        <w:rPr>
          <w:shd w:val="clear" w:color="auto" w:fill="FFFFFF"/>
        </w:rPr>
        <w:t xml:space="preserve">The </w:t>
      </w:r>
      <w:r w:rsidR="00E6533D">
        <w:rPr>
          <w:shd w:val="clear" w:color="auto" w:fill="FFFFFF"/>
        </w:rPr>
        <w:t>Ḥadīth</w:t>
      </w:r>
      <w:r w:rsidRPr="005965AA" w:rsidR="00E6533D">
        <w:rPr>
          <w:shd w:val="clear" w:color="auto" w:fill="FFFFFF"/>
        </w:rPr>
        <w:t xml:space="preserve"> of Self-Knowing in Later Sunni Sources</w:t>
      </w:r>
    </w:p>
    <w:p w:rsidR="00E6533D" w:rsidRPr="005965AA" w:rsidP="00DB68A1">
      <w:pPr>
        <w:pStyle w:val="2-2NDPARA"/>
        <w:spacing w:line="24" w:lineRule="atLeast"/>
        <w:ind w:firstLine="0"/>
        <w:rPr>
          <w:shd w:val="clear" w:color="auto" w:fill="FFFFFF"/>
        </w:rPr>
      </w:pPr>
      <w:r w:rsidRPr="005965AA">
        <w:rPr>
          <w:shd w:val="clear" w:color="auto" w:fill="FFFFFF"/>
        </w:rPr>
        <w:t>Prominent scholars like al-Ghazālī (d. 505/1111), in his works Kīmiyā’ al-Saʿādah and Maʿārij al-Quds (al-Ghazālī, Maʿārij al-Quds fī Madārij Maʿrifat al-Nafs (The Ascent to the Divine through the Path of Self-knowing). Khuṭbah al-Kitāb, 1988, p. 32), Abū Bakr Ibn al-ʿArabī al-Maʿāfirī al-Ishbīlī(d.543/1148) in his Qānūn al-Ta’wīl</w:t>
      </w:r>
      <w:r>
        <w:rPr>
          <w:shd w:val="clear" w:color="auto" w:fill="FFFFFF"/>
        </w:rPr>
        <w:t xml:space="preserve"> </w:t>
      </w:r>
      <w:r w:rsidRPr="005965AA">
        <w:rPr>
          <w:shd w:val="clear" w:color="auto" w:fill="FFFFFF"/>
        </w:rPr>
        <w:t>(Ibn al-"Arabī, 1986, p. 467), Ibn ʿArabī (d. 638/1240) in his al-Futūḥāt al-Makkiyyah</w:t>
      </w:r>
      <w:r>
        <w:rPr>
          <w:rStyle w:val="FootnoteReference"/>
          <w:shd w:val="clear" w:color="auto" w:fill="FFFFFF"/>
        </w:rPr>
        <w:footnoteReference w:id="8"/>
      </w:r>
      <w:r>
        <w:rPr>
          <w:shd w:val="clear" w:color="auto" w:fill="FFFFFF"/>
        </w:rPr>
        <w:t xml:space="preserve"> </w:t>
      </w:r>
      <w:r w:rsidRPr="005965AA">
        <w:rPr>
          <w:shd w:val="clear" w:color="auto" w:fill="FFFFFF"/>
        </w:rPr>
        <w:t>and al-Risālah al-Wujūdīyyah</w:t>
      </w:r>
      <w:r>
        <w:rPr>
          <w:rStyle w:val="FootnoteReference"/>
          <w:shd w:val="clear" w:color="auto" w:fill="FFFFFF"/>
        </w:rPr>
        <w:footnoteReference w:id="9"/>
      </w:r>
      <w:r w:rsidRPr="005965AA">
        <w:rPr>
          <w:shd w:val="clear" w:color="auto" w:fill="FFFFFF"/>
        </w:rPr>
        <w:t xml:space="preserve">, Fakhr al-Dīn al-Rāzī (d. 606/1209), in his (great) exegesis of </w:t>
      </w:r>
      <w:r>
        <w:rPr>
          <w:shd w:val="clear" w:color="auto" w:fill="FFFFFF"/>
        </w:rPr>
        <w:t>Qurʾān</w:t>
      </w:r>
      <w:r w:rsidRPr="005965AA">
        <w:rPr>
          <w:shd w:val="clear" w:color="auto" w:fill="FFFFFF"/>
        </w:rPr>
        <w:t>, under the commentary of ‘Istiʿādhah (Al-Rāzī, 1981, p. 91) and Ibn ʿAṭā Allāh al-Iskandarī</w:t>
      </w:r>
      <w:r>
        <w:rPr>
          <w:rStyle w:val="FootnoteReference"/>
          <w:shd w:val="clear" w:color="auto" w:fill="FFFFFF"/>
        </w:rPr>
        <w:footnoteReference w:id="10"/>
      </w:r>
      <w:r w:rsidRPr="005965AA">
        <w:rPr>
          <w:shd w:val="clear" w:color="auto" w:fill="FFFFFF"/>
        </w:rPr>
        <w:t xml:space="preserve">  (d. 709/1309) in his book “Laṭā’if al-Minan”, along with his teacher, Abu al-ʿAbbās al-Mursī</w:t>
      </w:r>
      <w:r>
        <w:rPr>
          <w:rStyle w:val="FootnoteReference"/>
          <w:shd w:val="clear" w:color="auto" w:fill="FFFFFF"/>
        </w:rPr>
        <w:footnoteReference w:id="11"/>
      </w:r>
      <w:r w:rsidRPr="005965AA">
        <w:rPr>
          <w:shd w:val="clear" w:color="auto" w:fill="FFFFFF"/>
        </w:rPr>
        <w:t xml:space="preserve">  (d.686 /1286) incorporate the concept, attributing to the Prophet, within their writings. (</w:t>
      </w:r>
      <w:r w:rsidR="00DB68A1">
        <w:rPr>
          <w:shd w:val="clear" w:color="auto" w:fill="FFFFFF"/>
        </w:rPr>
        <w:t>a</w:t>
      </w:r>
      <w:r w:rsidRPr="005965AA" w:rsidR="008607C5">
        <w:rPr>
          <w:shd w:val="clear" w:color="auto" w:fill="FFFFFF"/>
        </w:rPr>
        <w:t>l-Iskandarī</w:t>
      </w:r>
      <w:r w:rsidRPr="005965AA">
        <w:rPr>
          <w:shd w:val="clear" w:color="auto" w:fill="FFFFFF"/>
        </w:rPr>
        <w:t>, 2006, p. 52) However, their lack of isnād and reliance on general attribution suggest that they treated it as reflective wisdom rather than verified prophetic tradition.</w:t>
      </w:r>
    </w:p>
    <w:p w:rsidR="00E6533D" w:rsidRPr="005965AA" w:rsidP="00E6533D">
      <w:pPr>
        <w:pStyle w:val="2-2NDPARA"/>
        <w:spacing w:line="24" w:lineRule="atLeast"/>
        <w:ind w:firstLine="720"/>
        <w:rPr>
          <w:shd w:val="clear" w:color="auto" w:fill="FFFFFF"/>
        </w:rPr>
      </w:pPr>
      <w:r w:rsidRPr="005965AA">
        <w:rPr>
          <w:shd w:val="clear" w:color="auto" w:fill="FFFFFF"/>
        </w:rPr>
        <w:t xml:space="preserve">These scholars ascribe the </w:t>
      </w:r>
      <w:r>
        <w:rPr>
          <w:shd w:val="clear" w:color="auto" w:fill="FFFFFF"/>
        </w:rPr>
        <w:t>Ḥadīth</w:t>
      </w:r>
      <w:r w:rsidRPr="005965AA">
        <w:rPr>
          <w:shd w:val="clear" w:color="auto" w:fill="FFFFFF"/>
        </w:rPr>
        <w:t xml:space="preserve"> of self-knowledge to the Prophet without providing a rigorous legal methodology or a chain of narration. Their attribution is often vague, relying on phrases such as "as the Prophet, peace be upon him, says" or "as it is mentioned in </w:t>
      </w:r>
      <w:r>
        <w:rPr>
          <w:shd w:val="clear" w:color="auto" w:fill="FFFFFF"/>
        </w:rPr>
        <w:t>Ḥadīth</w:t>
      </w:r>
      <w:r w:rsidRPr="005965AA">
        <w:rPr>
          <w:shd w:val="clear" w:color="auto" w:fill="FFFFFF"/>
        </w:rPr>
        <w:t xml:space="preserve"> that." This lack of a clear isnād, even a weak one, raises questions about the authenticity and reliability of the narration.</w:t>
      </w:r>
    </w:p>
    <w:p w:rsidR="00E6533D" w:rsidRPr="005965AA" w:rsidP="00DB68A1">
      <w:pPr>
        <w:pStyle w:val="2-2NDPARA"/>
        <w:spacing w:line="24" w:lineRule="atLeast"/>
        <w:ind w:firstLine="720"/>
        <w:rPr>
          <w:shd w:val="clear" w:color="auto" w:fill="FFFFFF"/>
        </w:rPr>
      </w:pPr>
      <w:r w:rsidRPr="005965AA">
        <w:rPr>
          <w:shd w:val="clear" w:color="auto" w:fill="FFFFFF"/>
        </w:rPr>
        <w:t xml:space="preserve">The following scholars have evaluated the authenticity of this </w:t>
      </w:r>
      <w:r>
        <w:rPr>
          <w:shd w:val="clear" w:color="auto" w:fill="FFFFFF"/>
        </w:rPr>
        <w:t>Ḥadīth</w:t>
      </w:r>
      <w:r w:rsidRPr="005965AA">
        <w:rPr>
          <w:shd w:val="clear" w:color="auto" w:fill="FFFFFF"/>
        </w:rPr>
        <w:t xml:space="preserve"> and analyzed whether it is an established </w:t>
      </w:r>
      <w:r>
        <w:rPr>
          <w:shd w:val="clear" w:color="auto" w:fill="FFFFFF"/>
        </w:rPr>
        <w:t>Ḥadīth</w:t>
      </w:r>
      <w:r w:rsidRPr="005965AA">
        <w:rPr>
          <w:shd w:val="clear" w:color="auto" w:fill="FFFFFF"/>
        </w:rPr>
        <w:t xml:space="preserve"> of the Prophet or a saying attributed to someone else; Abū Zakarīyyā al-Nawawī concludes that it is not established as a saying of the Prophet. </w:t>
      </w:r>
      <w:r w:rsidRPr="005965AA">
        <w:rPr>
          <w:shd w:val="clear" w:color="auto" w:fill="FFFFFF"/>
        </w:rPr>
        <w:t>(</w:t>
      </w:r>
      <w:r w:rsidR="00DB68A1">
        <w:rPr>
          <w:shd w:val="clear" w:color="auto" w:fill="FFFFFF"/>
        </w:rPr>
        <w:t>a</w:t>
      </w:r>
      <w:r w:rsidRPr="005965AA">
        <w:rPr>
          <w:shd w:val="clear" w:color="auto" w:fill="FFFFFF"/>
        </w:rPr>
        <w:t xml:space="preserve">l-Nawawī A. Z.-ʿ.-D., 1996, p. 248) Ibn Ḥajar al-ʿAsqalānī </w:t>
      </w:r>
      <w:r>
        <w:rPr>
          <w:rStyle w:val="FootnoteReference"/>
          <w:shd w:val="clear" w:color="auto" w:fill="FFFFFF"/>
        </w:rPr>
        <w:footnoteReference w:id="12"/>
      </w:r>
      <w:r w:rsidRPr="005965AA">
        <w:rPr>
          <w:shd w:val="clear" w:color="auto" w:fill="FFFFFF"/>
        </w:rPr>
        <w:t xml:space="preserve"> asserts that the </w:t>
      </w:r>
      <w:r>
        <w:rPr>
          <w:shd w:val="clear" w:color="auto" w:fill="FFFFFF"/>
        </w:rPr>
        <w:t>Ḥadīth</w:t>
      </w:r>
      <w:r w:rsidRPr="005965AA">
        <w:rPr>
          <w:shd w:val="clear" w:color="auto" w:fill="FFFFFF"/>
        </w:rPr>
        <w:t xml:space="preserve"> lacks any authentic basis. (</w:t>
      </w:r>
      <w:r w:rsidR="00DB68A1">
        <w:rPr>
          <w:shd w:val="clear" w:color="auto" w:fill="FFFFFF"/>
        </w:rPr>
        <w:t>a</w:t>
      </w:r>
      <w:r w:rsidRPr="005965AA">
        <w:rPr>
          <w:shd w:val="clear" w:color="auto" w:fill="FFFFFF"/>
        </w:rPr>
        <w:t xml:space="preserve">l-Nawawī A. Z.-ʿ.-D., 1996, p. 248) Ibn Taymīyyah classifies it as a forged (mawḍūʿ) </w:t>
      </w:r>
      <w:r>
        <w:rPr>
          <w:shd w:val="clear" w:color="auto" w:fill="FFFFFF"/>
        </w:rPr>
        <w:t>Ḥadīth</w:t>
      </w:r>
      <w:r w:rsidRPr="005965AA">
        <w:rPr>
          <w:shd w:val="clear" w:color="auto" w:fill="FFFFFF"/>
        </w:rPr>
        <w:t>. (</w:t>
      </w:r>
      <w:r w:rsidR="00DB68A1">
        <w:rPr>
          <w:shd w:val="clear" w:color="auto" w:fill="FFFFFF"/>
        </w:rPr>
        <w:t>a</w:t>
      </w:r>
      <w:r w:rsidRPr="005965AA">
        <w:rPr>
          <w:shd w:val="clear" w:color="auto" w:fill="FFFFFF"/>
        </w:rPr>
        <w:t>l-Suyūṭī, Al-Qawl al-Ashbah, 2006, p. 412) Al-Ṣāghānī also identifies it as a forgery. (</w:t>
      </w:r>
      <w:r w:rsidR="00DB68A1">
        <w:rPr>
          <w:shd w:val="clear" w:color="auto" w:fill="FFFFFF"/>
        </w:rPr>
        <w:t>a</w:t>
      </w:r>
      <w:r w:rsidRPr="005965AA">
        <w:rPr>
          <w:shd w:val="clear" w:color="auto" w:fill="FFFFFF"/>
        </w:rPr>
        <w:t>l-Saghānī, 1980, p. 35) Al-ʿAjlūnī affirms the views of al-Nawawī and Ibn Taymīyyah regarding its lack of authenticity. (</w:t>
      </w:r>
      <w:r w:rsidR="00DB68A1">
        <w:rPr>
          <w:shd w:val="clear" w:color="auto" w:fill="FFFFFF"/>
        </w:rPr>
        <w:t>a</w:t>
      </w:r>
      <w:r w:rsidRPr="005965AA">
        <w:rPr>
          <w:shd w:val="clear" w:color="auto" w:fill="FFFFFF"/>
        </w:rPr>
        <w:t>l-ʿAjlūnī, p. 309) Mullā ʿAlī al-Qārī echoes the opinions of al-Nawawī, al-Samʿānī, and Ibn Taymīyyah in considering it unauthentic. (</w:t>
      </w:r>
      <w:r w:rsidR="00DB68A1">
        <w:rPr>
          <w:shd w:val="clear" w:color="auto" w:fill="FFFFFF"/>
        </w:rPr>
        <w:t>a</w:t>
      </w:r>
      <w:r w:rsidRPr="005965AA">
        <w:rPr>
          <w:shd w:val="clear" w:color="auto" w:fill="FFFFFF"/>
        </w:rPr>
        <w:t>l-Qārī, al-Asrār al-Marfūʿah fi al-Akhbār al-Mawḍūʿāh (al-Mawḍūʿāt al-Kubrā), 1986, p. 337)</w:t>
      </w:r>
    </w:p>
    <w:p w:rsidR="00E6533D" w:rsidP="00E6533D">
      <w:pPr>
        <w:pStyle w:val="2-2NDPARA"/>
        <w:spacing w:line="24" w:lineRule="atLeast"/>
        <w:ind w:firstLine="720"/>
        <w:rPr>
          <w:shd w:val="clear" w:color="auto" w:fill="FFFFFF"/>
        </w:rPr>
      </w:pPr>
      <w:r>
        <w:rPr>
          <w:noProof/>
          <w:lang w:val="en-US"/>
        </w:rPr>
        <w:pict>
          <v:shape id="_x0000_s1029" type="#_x0000_t202" style="width:4.6pt;height:16.75pt;margin-top:-115.05pt;margin-left:-10.9pt;position:absolute;z-index:251659264" stroked="f">
            <v:textbox>
              <w:txbxContent>
                <w:p w:rsidR="004A0722" w:rsidRPr="00284B10" w:rsidP="00E6533D">
                  <w:pPr>
                    <w:jc w:val="center"/>
                    <w:rPr>
                      <w:rFonts w:asciiTheme="majorBidi" w:hAnsiTheme="majorBidi" w:cstheme="majorBidi"/>
                      <w:color w:val="7F7F7F" w:themeColor="text1" w:themeTint="80"/>
                      <w:sz w:val="18"/>
                      <w:szCs w:val="18"/>
                    </w:rPr>
                  </w:pPr>
                </w:p>
              </w:txbxContent>
            </v:textbox>
          </v:shape>
        </w:pict>
      </w:r>
      <w:r w:rsidRPr="005965AA" w:rsidR="00E6533D">
        <w:rPr>
          <w:shd w:val="clear" w:color="auto" w:fill="FFFFFF"/>
        </w:rPr>
        <w:t xml:space="preserve">These scholars collectively agree on the </w:t>
      </w:r>
      <w:r w:rsidR="00E6533D">
        <w:rPr>
          <w:shd w:val="clear" w:color="auto" w:fill="FFFFFF"/>
        </w:rPr>
        <w:t>Ḥadīth</w:t>
      </w:r>
      <w:r w:rsidRPr="005965AA" w:rsidR="00E6533D">
        <w:rPr>
          <w:shd w:val="clear" w:color="auto" w:fill="FFFFFF"/>
        </w:rPr>
        <w:t>’s lack of authenticity, aligning their views with those who reject its attribution to the Prophet.</w:t>
      </w:r>
    </w:p>
    <w:p w:rsidR="00E6533D" w:rsidRPr="005965AA" w:rsidP="00E6533D">
      <w:pPr>
        <w:pStyle w:val="2-2NDPARA"/>
        <w:spacing w:line="24" w:lineRule="atLeast"/>
        <w:ind w:firstLine="720"/>
        <w:rPr>
          <w:shd w:val="clear" w:color="auto" w:fill="FFFFFF"/>
        </w:rPr>
      </w:pPr>
    </w:p>
    <w:p w:rsidR="00E6533D" w:rsidRPr="002C1155" w:rsidP="00E6533D">
      <w:pPr>
        <w:pStyle w:val="2-2NDPARA"/>
        <w:spacing w:line="24" w:lineRule="atLeast"/>
        <w:ind w:firstLine="0"/>
        <w:rPr>
          <w:b/>
          <w:bCs/>
          <w:sz w:val="24"/>
          <w:szCs w:val="24"/>
          <w:shd w:val="clear" w:color="auto" w:fill="FFFFFF"/>
        </w:rPr>
      </w:pPr>
      <w:r w:rsidRPr="002C1155">
        <w:rPr>
          <w:b/>
          <w:bCs/>
          <w:sz w:val="24"/>
          <w:szCs w:val="24"/>
          <w:shd w:val="clear" w:color="auto" w:fill="FFFFFF"/>
        </w:rPr>
        <w:t>The Ḥadīth of Self-Knowing in Shīʿī Sources</w:t>
      </w:r>
    </w:p>
    <w:p w:rsidR="00E6533D" w:rsidRPr="005965AA" w:rsidP="00E6533D">
      <w:pPr>
        <w:pStyle w:val="2-2NDPARA"/>
        <w:spacing w:line="24" w:lineRule="atLeast"/>
        <w:ind w:firstLine="0"/>
        <w:rPr>
          <w:shd w:val="clear" w:color="auto" w:fill="FFFFFF"/>
        </w:rPr>
      </w:pPr>
      <w:r w:rsidRPr="005965AA">
        <w:rPr>
          <w:shd w:val="clear" w:color="auto" w:fill="FFFFFF"/>
        </w:rPr>
        <w:t xml:space="preserve">In the Shīʿī tradition, the </w:t>
      </w:r>
      <w:r>
        <w:rPr>
          <w:shd w:val="clear" w:color="auto" w:fill="FFFFFF"/>
        </w:rPr>
        <w:t>Ḥadīth</w:t>
      </w:r>
      <w:r w:rsidRPr="005965AA">
        <w:rPr>
          <w:shd w:val="clear" w:color="auto" w:fill="FFFFFF"/>
        </w:rPr>
        <w:t xml:space="preserve"> of self-knowing is present but, like in the Sunni tradition, it is primarily found within ethical and spiritual contexts rather than canonical </w:t>
      </w:r>
      <w:r>
        <w:rPr>
          <w:shd w:val="clear" w:color="auto" w:fill="FFFFFF"/>
        </w:rPr>
        <w:t>Ḥadīth</w:t>
      </w:r>
      <w:r w:rsidRPr="005965AA">
        <w:rPr>
          <w:shd w:val="clear" w:color="auto" w:fill="FFFFFF"/>
        </w:rPr>
        <w:t xml:space="preserve"> compilations. Scholars such as al-Kulaynī </w:t>
      </w:r>
      <w:r>
        <w:rPr>
          <w:rStyle w:val="FootnoteReference"/>
          <w:shd w:val="clear" w:color="auto" w:fill="FFFFFF"/>
        </w:rPr>
        <w:footnoteReference w:id="13"/>
      </w:r>
      <w:r w:rsidRPr="005965AA">
        <w:rPr>
          <w:shd w:val="clear" w:color="auto" w:fill="FFFFFF"/>
        </w:rPr>
        <w:t xml:space="preserve"> and al-Ṭūsī</w:t>
      </w:r>
      <w:r>
        <w:rPr>
          <w:rStyle w:val="FootnoteReference"/>
          <w:shd w:val="clear" w:color="auto" w:fill="FFFFFF"/>
        </w:rPr>
        <w:footnoteReference w:id="14"/>
      </w:r>
      <w:r w:rsidRPr="005965AA">
        <w:rPr>
          <w:shd w:val="clear" w:color="auto" w:fill="FFFFFF"/>
        </w:rPr>
        <w:t xml:space="preserve">  reference similar concepts, particularly in relation to the importance of recognizing one's own limitations and dependence on Allah. (Koelberg, 1983, pp. 299-307)</w:t>
      </w:r>
    </w:p>
    <w:p w:rsidR="00E6533D" w:rsidRPr="005965AA" w:rsidP="00E6533D">
      <w:pPr>
        <w:pStyle w:val="2-2NDPARA"/>
        <w:spacing w:line="24" w:lineRule="atLeast"/>
        <w:ind w:firstLine="720"/>
        <w:rPr>
          <w:shd w:val="clear" w:color="auto" w:fill="FFFFFF"/>
        </w:rPr>
      </w:pPr>
      <w:r w:rsidRPr="005965AA">
        <w:rPr>
          <w:shd w:val="clear" w:color="auto" w:fill="FFFFFF"/>
        </w:rPr>
        <w:t xml:space="preserve">Kitāb al-Kāfī by al-Kulāynī includes narrations from the Imāms emphasizing self-awareness as a mean to understanding Allah, </w:t>
      </w:r>
      <w:r w:rsidRPr="005965AA">
        <w:rPr>
          <w:shd w:val="clear" w:color="auto" w:fill="FFFFFF"/>
        </w:rPr>
        <w:t>though it does not directly attribute the phrase to the Prophet Muhammad. Biḥār al-Anwār by al-Majlisī</w:t>
      </w:r>
      <w:r>
        <w:rPr>
          <w:rStyle w:val="FootnoteReference"/>
          <w:shd w:val="clear" w:color="auto" w:fill="FFFFFF"/>
        </w:rPr>
        <w:footnoteReference w:id="15"/>
      </w:r>
      <w:r w:rsidRPr="005965AA">
        <w:rPr>
          <w:shd w:val="clear" w:color="auto" w:fill="FFFFFF"/>
        </w:rPr>
        <w:t>, a comprehensive Shīʿī encyclopedia, also contains references to self-knowing within the context of spirituality and moral development but does not provide isnād linking it to the Prophet. (Koelberg, 1983, pp. 299-307)</w:t>
      </w:r>
    </w:p>
    <w:p w:rsidR="00E6533D" w:rsidP="00F6467A">
      <w:pPr>
        <w:pStyle w:val="2-2NDPARA"/>
        <w:spacing w:line="24" w:lineRule="atLeast"/>
        <w:ind w:firstLine="720"/>
        <w:rPr>
          <w:shd w:val="clear" w:color="auto" w:fill="FFFFFF"/>
        </w:rPr>
      </w:pPr>
      <w:r>
        <w:rPr>
          <w:noProof/>
          <w:lang w:val="en-US"/>
        </w:rPr>
        <w:pict>
          <v:shape id="_x0000_s1030" type="#_x0000_t202" style="width:38.1pt;height:22.75pt;margin-top:-105.85pt;margin-left:-11.15pt;position:absolute;z-index:251664384" stroked="f">
            <v:textbox>
              <w:txbxContent>
                <w:p w:rsidR="004A0722" w:rsidRPr="00CD7D70" w:rsidP="00542A00">
                  <w:pPr>
                    <w:jc w:val="center"/>
                    <w:rPr>
                      <w:rFonts w:asciiTheme="majorBidi" w:hAnsiTheme="majorBidi" w:cstheme="majorBidi"/>
                      <w:color w:val="7F7F7F" w:themeColor="text1" w:themeTint="80"/>
                      <w:sz w:val="18"/>
                      <w:szCs w:val="18"/>
                      <w:lang w:val="en-US"/>
                    </w:rPr>
                  </w:pPr>
                  <w:r>
                    <w:rPr>
                      <w:rFonts w:asciiTheme="majorBidi" w:hAnsiTheme="majorBidi" w:cstheme="majorBidi"/>
                      <w:color w:val="7F7F7F" w:themeColor="text1" w:themeTint="80"/>
                      <w:sz w:val="18"/>
                      <w:szCs w:val="18"/>
                      <w:lang w:val="en-US"/>
                    </w:rPr>
                    <w:t>40</w:t>
                  </w:r>
                </w:p>
              </w:txbxContent>
            </v:textbox>
          </v:shape>
        </w:pict>
      </w:r>
      <w:r w:rsidRPr="005965AA" w:rsidR="00E6533D">
        <w:rPr>
          <w:shd w:val="clear" w:color="auto" w:fill="FFFFFF"/>
        </w:rPr>
        <w:t xml:space="preserve">Secondary Shīʿ'ī </w:t>
      </w:r>
      <w:r w:rsidR="00E6533D">
        <w:rPr>
          <w:shd w:val="clear" w:color="auto" w:fill="FFFFFF"/>
        </w:rPr>
        <w:t>Ḥadīth</w:t>
      </w:r>
      <w:r w:rsidRPr="005965AA" w:rsidR="00E6533D">
        <w:rPr>
          <w:shd w:val="clear" w:color="auto" w:fill="FFFFFF"/>
        </w:rPr>
        <w:t xml:space="preserve"> sources attribute the </w:t>
      </w:r>
      <w:r w:rsidR="00E6533D">
        <w:rPr>
          <w:shd w:val="clear" w:color="auto" w:fill="FFFFFF"/>
        </w:rPr>
        <w:t>Ḥadīth</w:t>
      </w:r>
      <w:r w:rsidRPr="005965AA" w:rsidR="00E6533D">
        <w:rPr>
          <w:shd w:val="clear" w:color="auto" w:fill="FFFFFF"/>
        </w:rPr>
        <w:t xml:space="preserve"> of self-knowing to either the Prophet Muhammad or ʿAlī ibn Abī Ṭālib. In miṣbāḥ al-sharīʿa,the fifth chapter in under al-ʿilm (knowledge)al-Jaʿfar al-Ṣādiq reports that The Prophet (peace and blessings be upon him) said: "Whoever knows himself, knows his Lord."Then he advised: "You must pursue the knowledge that is indispensable for correct practice</w:t>
      </w:r>
      <w:r w:rsidR="00E6533D">
        <w:rPr>
          <w:shd w:val="clear" w:color="auto" w:fill="FFFFFF"/>
        </w:rPr>
        <w:t>, and that is sincerity." (</w:t>
      </w:r>
      <w:r w:rsidR="00DB68A1">
        <w:rPr>
          <w:shd w:val="clear" w:color="auto" w:fill="FFFFFF"/>
        </w:rPr>
        <w:t>a</w:t>
      </w:r>
      <w:r w:rsidRPr="005965AA" w:rsidR="00E6533D">
        <w:rPr>
          <w:shd w:val="clear" w:color="auto" w:fill="FFFFFF"/>
        </w:rPr>
        <w:t>l-Ṣādiq, 1980, p. 13);Aḥmad al-Aḥsāʾī reports his al-ʿawālī al-laʾālīunder the chapter “</w:t>
      </w:r>
      <w:r w:rsidR="00E6533D">
        <w:rPr>
          <w:shd w:val="clear" w:color="auto" w:fill="FFFFFF"/>
        </w:rPr>
        <w:t>Ḥadīth</w:t>
      </w:r>
      <w:r w:rsidRPr="005965AA" w:rsidR="00E6533D">
        <w:rPr>
          <w:shd w:val="clear" w:color="auto" w:fill="FFFFFF"/>
        </w:rPr>
        <w:t>s Related to Knowledge, Its People, and Its Bearers” and attributes the narration to the Prophet (</w:t>
      </w:r>
      <w:r w:rsidR="00DB68A1">
        <w:rPr>
          <w:shd w:val="clear" w:color="auto" w:fill="FFFFFF"/>
        </w:rPr>
        <w:t>a</w:t>
      </w:r>
      <w:r w:rsidRPr="005965AA" w:rsidR="00E6533D">
        <w:rPr>
          <w:shd w:val="clear" w:color="auto" w:fill="FFFFFF"/>
        </w:rPr>
        <w:t>l-Aḥsāʾī, 1985, p. 102); al-Jāḥiẓ in his compilation of the sayings of ʿAlī (may Allah be pleased with him) namely maṭlūb kulli ṭālib narrates it as his sixth saying (</w:t>
      </w:r>
      <w:r w:rsidR="00DB68A1">
        <w:rPr>
          <w:shd w:val="clear" w:color="auto" w:fill="FFFFFF"/>
        </w:rPr>
        <w:t>a</w:t>
      </w:r>
      <w:r w:rsidRPr="005965AA" w:rsidR="00E6533D">
        <w:rPr>
          <w:shd w:val="clear" w:color="auto" w:fill="FFFFFF"/>
        </w:rPr>
        <w:t>l-Jāḥiẓ ʿ. b.-B.-K.-B., 1963, p. 5); al-ʾĀmidī in his ghurar al-ḥikam relates this narration to ʿAlī (may Allah be pleased with him) as well (</w:t>
      </w:r>
      <w:r w:rsidR="00F6467A">
        <w:rPr>
          <w:shd w:val="clear" w:color="auto" w:fill="FFFFFF"/>
        </w:rPr>
        <w:t>a</w:t>
      </w:r>
      <w:r w:rsidRPr="005965AA" w:rsidR="00E6533D">
        <w:rPr>
          <w:shd w:val="clear" w:color="auto" w:fill="FFFFFF"/>
        </w:rPr>
        <w:t>l-ʿĀmidī, 1989, p. 352); al-Laythī al-Wāsiṭī in his ʿuyūn al-ḥikam wa al-mawāʿiẓ brings the same. (</w:t>
      </w:r>
      <w:r w:rsidR="00F6467A">
        <w:rPr>
          <w:shd w:val="clear" w:color="auto" w:fill="FFFFFF"/>
        </w:rPr>
        <w:t>a</w:t>
      </w:r>
      <w:r w:rsidRPr="005965AA" w:rsidR="00E6533D">
        <w:rPr>
          <w:shd w:val="clear" w:color="auto" w:fill="FFFFFF"/>
        </w:rPr>
        <w:t xml:space="preserve">l-Wāsiṭī, 1948, p. 430)However, these attributions lack a reliable chain of narration (isnād). Consequently, the </w:t>
      </w:r>
      <w:r w:rsidR="00E6533D">
        <w:rPr>
          <w:shd w:val="clear" w:color="auto" w:fill="FFFFFF"/>
        </w:rPr>
        <w:t>Ḥadīth</w:t>
      </w:r>
      <w:r w:rsidRPr="005965AA" w:rsidR="00E6533D">
        <w:rPr>
          <w:shd w:val="clear" w:color="auto" w:fill="FFFFFF"/>
        </w:rPr>
        <w:t xml:space="preserve">'s authenticity is questionable in both Sunni and Shīʿī </w:t>
      </w:r>
      <w:r w:rsidR="00E6533D">
        <w:rPr>
          <w:shd w:val="clear" w:color="auto" w:fill="FFFFFF"/>
        </w:rPr>
        <w:t>Ḥadīth</w:t>
      </w:r>
      <w:r w:rsidRPr="005965AA" w:rsidR="00E6533D">
        <w:rPr>
          <w:shd w:val="clear" w:color="auto" w:fill="FFFFFF"/>
        </w:rPr>
        <w:t xml:space="preserve"> literature.</w:t>
      </w:r>
    </w:p>
    <w:p w:rsidR="00E6533D" w:rsidP="00E6533D">
      <w:pPr>
        <w:pStyle w:val="2-2NDPARA"/>
        <w:spacing w:line="24" w:lineRule="atLeast"/>
        <w:ind w:firstLine="0"/>
      </w:pPr>
    </w:p>
    <w:p w:rsidR="00E6533D" w:rsidRPr="005965AA" w:rsidP="00E6533D">
      <w:pPr>
        <w:pStyle w:val="1-1STPARA"/>
        <w:spacing w:line="24" w:lineRule="atLeast"/>
        <w:rPr>
          <w:rFonts w:eastAsia="Times New Roman"/>
          <w:b/>
          <w:bCs/>
          <w:sz w:val="24"/>
          <w:szCs w:val="24"/>
        </w:rPr>
      </w:pPr>
      <w:r w:rsidRPr="005965AA">
        <w:rPr>
          <w:rFonts w:eastAsia="Times New Roman"/>
          <w:b/>
          <w:bCs/>
          <w:sz w:val="24"/>
          <w:szCs w:val="24"/>
        </w:rPr>
        <w:t xml:space="preserve">Sufis Understanding and Transmission of the </w:t>
      </w:r>
      <w:r>
        <w:rPr>
          <w:rFonts w:eastAsia="Times New Roman"/>
          <w:b/>
          <w:bCs/>
          <w:sz w:val="24"/>
          <w:szCs w:val="24"/>
        </w:rPr>
        <w:t>Ḥadīth</w:t>
      </w:r>
      <w:r w:rsidR="002C1155">
        <w:rPr>
          <w:rFonts w:eastAsia="Times New Roman"/>
          <w:b/>
          <w:bCs/>
          <w:sz w:val="24"/>
          <w:szCs w:val="24"/>
        </w:rPr>
        <w:t xml:space="preserve"> of Self-K</w:t>
      </w:r>
      <w:r w:rsidRPr="005965AA">
        <w:rPr>
          <w:rFonts w:eastAsia="Times New Roman"/>
          <w:b/>
          <w:bCs/>
          <w:sz w:val="24"/>
          <w:szCs w:val="24"/>
        </w:rPr>
        <w:t>nowing</w:t>
      </w:r>
    </w:p>
    <w:p w:rsidR="00E6533D" w:rsidRPr="005965AA" w:rsidP="00E6533D">
      <w:pPr>
        <w:pStyle w:val="1-1STPARA"/>
        <w:spacing w:line="24" w:lineRule="atLeast"/>
        <w:rPr>
          <w:rFonts w:eastAsia="Times New Roman"/>
        </w:rPr>
      </w:pPr>
      <w:r w:rsidRPr="005965AA">
        <w:rPr>
          <w:rFonts w:eastAsia="Times New Roman"/>
        </w:rPr>
        <w:t xml:space="preserve">In the early Islamic period, </w:t>
      </w:r>
      <w:r>
        <w:rPr>
          <w:rFonts w:eastAsia="Times New Roman"/>
        </w:rPr>
        <w:t>Ḥadīth</w:t>
      </w:r>
      <w:r w:rsidRPr="005965AA">
        <w:rPr>
          <w:rFonts w:eastAsia="Times New Roman"/>
        </w:rPr>
        <w:t xml:space="preserve"> scholars were often characterized by their ascetic lifestyles, closely aligned with the values of Sufism. Asceticism (zuhd) was seen as a way to purify the heart and bring the scholar closer to Allah, reflecting the foundational goals of both early Sufis and </w:t>
      </w:r>
      <w:r>
        <w:rPr>
          <w:rFonts w:eastAsia="Times New Roman"/>
        </w:rPr>
        <w:t>Ḥadīth</w:t>
      </w:r>
      <w:r w:rsidRPr="005965AA">
        <w:rPr>
          <w:rFonts w:eastAsia="Times New Roman"/>
        </w:rPr>
        <w:t xml:space="preserve"> scholars. As </w:t>
      </w:r>
      <w:r>
        <w:rPr>
          <w:rFonts w:eastAsia="Times New Roman"/>
        </w:rPr>
        <w:t>Ḥadīth</w:t>
      </w:r>
      <w:r w:rsidRPr="005965AA">
        <w:rPr>
          <w:rFonts w:eastAsia="Times New Roman"/>
        </w:rPr>
        <w:t xml:space="preserve"> authentication became more formalized, scholars devised rigorous standards to assess the chains of narration (isnād) and content (matn) of </w:t>
      </w:r>
      <w:r>
        <w:rPr>
          <w:rFonts w:eastAsia="Times New Roman"/>
        </w:rPr>
        <w:t>Ḥadīth</w:t>
      </w:r>
      <w:r w:rsidRPr="005965AA">
        <w:rPr>
          <w:rFonts w:eastAsia="Times New Roman"/>
        </w:rPr>
        <w:t xml:space="preserve">, forming the basis of </w:t>
      </w:r>
      <w:r w:rsidRPr="005965AA">
        <w:rPr>
          <w:rFonts w:eastAsia="Times New Roman"/>
        </w:rPr>
        <w:t xml:space="preserve">what is now referred to as </w:t>
      </w:r>
      <w:r>
        <w:rPr>
          <w:rFonts w:eastAsia="Times New Roman"/>
        </w:rPr>
        <w:t>Ḥadīth</w:t>
      </w:r>
      <w:r w:rsidRPr="005965AA">
        <w:rPr>
          <w:rFonts w:eastAsia="Times New Roman"/>
        </w:rPr>
        <w:t xml:space="preserve"> science. (Brown D. W., 2019, p. 266)</w:t>
      </w:r>
    </w:p>
    <w:p w:rsidR="00E6533D" w:rsidRPr="005965AA" w:rsidP="00E6533D">
      <w:pPr>
        <w:pStyle w:val="1-1STPARA"/>
        <w:spacing w:line="24" w:lineRule="atLeast"/>
        <w:ind w:firstLine="720"/>
        <w:rPr>
          <w:rFonts w:eastAsia="Times New Roman"/>
        </w:rPr>
      </w:pPr>
      <w:r>
        <w:rPr>
          <w:rFonts w:eastAsia="Times New Roman"/>
          <w:noProof/>
          <w:shd w:val="clear" w:color="auto" w:fill="auto"/>
          <w:lang w:val="en-US"/>
        </w:rPr>
        <w:pict>
          <v:shape id="_x0000_s1031" type="#_x0000_t202" style="width:9.15pt;height:20.65pt;margin-top:3.95pt;margin-left:-19.55pt;position:absolute;z-index:251660288" stroked="f">
            <v:textbox>
              <w:txbxContent>
                <w:p w:rsidR="004A0722" w:rsidRPr="00C16692" w:rsidP="00E6533D">
                  <w:pPr>
                    <w:jc w:val="center"/>
                    <w:rPr>
                      <w:rFonts w:asciiTheme="majorBidi" w:hAnsiTheme="majorBidi" w:cstheme="majorBidi"/>
                      <w:color w:val="7F7F7F" w:themeColor="text1" w:themeTint="80"/>
                      <w:sz w:val="18"/>
                      <w:szCs w:val="18"/>
                      <w:lang w:val="en-US"/>
                    </w:rPr>
                  </w:pPr>
                </w:p>
              </w:txbxContent>
            </v:textbox>
          </v:shape>
        </w:pict>
      </w:r>
      <w:r w:rsidRPr="005965AA" w:rsidR="00E6533D">
        <w:rPr>
          <w:rFonts w:eastAsia="Times New Roman"/>
        </w:rPr>
        <w:t xml:space="preserve">Prominent early Sufi figures were also distinguished </w:t>
      </w:r>
      <w:r w:rsidR="00E6533D">
        <w:rPr>
          <w:rFonts w:eastAsia="Times New Roman"/>
        </w:rPr>
        <w:t>Ḥadīth</w:t>
      </w:r>
      <w:r w:rsidRPr="005965AA" w:rsidR="00E6533D">
        <w:rPr>
          <w:rFonts w:eastAsia="Times New Roman"/>
        </w:rPr>
        <w:t xml:space="preserve"> scholars, indicating an initial harmony between the fields. For instance, Abū al-ʿAbbās Aḥmad ibn Muḥammad al-Ṭūsī </w:t>
      </w:r>
      <w:r>
        <w:rPr>
          <w:rStyle w:val="FootnoteReference"/>
          <w:rFonts w:eastAsia="Times New Roman"/>
        </w:rPr>
        <w:footnoteReference w:id="16"/>
      </w:r>
      <w:r w:rsidRPr="005965AA" w:rsidR="00E6533D">
        <w:rPr>
          <w:rFonts w:eastAsia="Times New Roman"/>
        </w:rPr>
        <w:t xml:space="preserve">(d. 911–913) combined rigorous </w:t>
      </w:r>
      <w:r w:rsidR="00E6533D">
        <w:rPr>
          <w:rFonts w:eastAsia="Times New Roman"/>
        </w:rPr>
        <w:t>Ḥadīth</w:t>
      </w:r>
      <w:r w:rsidRPr="005965AA" w:rsidR="00E6533D">
        <w:rPr>
          <w:rFonts w:eastAsia="Times New Roman"/>
        </w:rPr>
        <w:t xml:space="preserve"> scholarship with deep spiritual practice; Abū Saʿīd al-Aʿrābī </w:t>
      </w:r>
      <w:r>
        <w:rPr>
          <w:rStyle w:val="FootnoteReference"/>
          <w:rFonts w:eastAsia="Times New Roman"/>
        </w:rPr>
        <w:footnoteReference w:id="17"/>
      </w:r>
      <w:r w:rsidRPr="005965AA" w:rsidR="00E6533D">
        <w:rPr>
          <w:rFonts w:eastAsia="Times New Roman"/>
        </w:rPr>
        <w:t xml:space="preserve"> (d. 952) was both a Sufi and a celebrated </w:t>
      </w:r>
      <w:r w:rsidR="00E6533D">
        <w:rPr>
          <w:rFonts w:eastAsia="Times New Roman"/>
        </w:rPr>
        <w:t>Ḥadīth</w:t>
      </w:r>
      <w:r w:rsidRPr="005965AA" w:rsidR="00E6533D">
        <w:rPr>
          <w:rFonts w:eastAsia="Times New Roman"/>
        </w:rPr>
        <w:t xml:space="preserve"> master; Abū Muḥammad al-Khuldī </w:t>
      </w:r>
      <w:r>
        <w:rPr>
          <w:rStyle w:val="FootnoteReference"/>
          <w:rFonts w:eastAsia="Times New Roman"/>
        </w:rPr>
        <w:footnoteReference w:id="18"/>
      </w:r>
      <w:r w:rsidRPr="005965AA" w:rsidR="00E6533D">
        <w:rPr>
          <w:rFonts w:eastAsia="Times New Roman"/>
        </w:rPr>
        <w:t xml:space="preserve"> (d. 959) and Abū ʿAbd Allāh al-Rūdhbārī </w:t>
      </w:r>
      <w:r>
        <w:rPr>
          <w:rStyle w:val="FootnoteReference"/>
          <w:rFonts w:eastAsia="Times New Roman"/>
        </w:rPr>
        <w:footnoteReference w:id="19"/>
      </w:r>
      <w:r w:rsidRPr="005965AA" w:rsidR="00E6533D">
        <w:rPr>
          <w:rFonts w:eastAsia="Times New Roman"/>
        </w:rPr>
        <w:t xml:space="preserve"> (d. 980) were known as authorities in both </w:t>
      </w:r>
      <w:r w:rsidR="00E6533D">
        <w:rPr>
          <w:rFonts w:eastAsia="Times New Roman"/>
        </w:rPr>
        <w:t>Ḥadīth</w:t>
      </w:r>
      <w:r w:rsidRPr="005965AA" w:rsidR="00E6533D">
        <w:rPr>
          <w:rFonts w:eastAsia="Times New Roman"/>
        </w:rPr>
        <w:t xml:space="preserve"> and Sufism. (Belal Abu al-Abbas, 2020, p. 70)</w:t>
      </w:r>
    </w:p>
    <w:p w:rsidR="00E6533D" w:rsidRPr="005965AA" w:rsidP="00E6533D">
      <w:pPr>
        <w:pStyle w:val="1-1STPARA"/>
        <w:spacing w:line="24" w:lineRule="atLeast"/>
        <w:ind w:firstLine="720"/>
        <w:rPr>
          <w:rFonts w:eastAsia="Times New Roman"/>
        </w:rPr>
      </w:pPr>
      <w:r w:rsidRPr="005965AA">
        <w:rPr>
          <w:rFonts w:eastAsia="Times New Roman"/>
        </w:rPr>
        <w:t xml:space="preserve">These figures demonstrate that many early Sufis maintained a dual commitment to both spiritual purification and strict adherence to traditional </w:t>
      </w:r>
      <w:r>
        <w:rPr>
          <w:rFonts w:eastAsia="Times New Roman"/>
        </w:rPr>
        <w:t>Ḥadīth</w:t>
      </w:r>
      <w:r w:rsidRPr="005965AA">
        <w:rPr>
          <w:rFonts w:eastAsia="Times New Roman"/>
        </w:rPr>
        <w:t xml:space="preserve"> methods.</w:t>
      </w:r>
    </w:p>
    <w:p w:rsidR="00E6533D" w:rsidRPr="005965AA" w:rsidP="00E6533D">
      <w:pPr>
        <w:pStyle w:val="1-1STPARA"/>
        <w:spacing w:line="24" w:lineRule="atLeast"/>
        <w:ind w:firstLine="720"/>
        <w:rPr>
          <w:rFonts w:eastAsia="Times New Roman"/>
        </w:rPr>
      </w:pPr>
      <w:r w:rsidRPr="005965AA">
        <w:rPr>
          <w:rFonts w:eastAsia="Times New Roman"/>
        </w:rPr>
        <w:t xml:space="preserve">As Islamic scholarship developed, Sufis began to employ unique methods to ascertain the authenticity of </w:t>
      </w:r>
      <w:r>
        <w:rPr>
          <w:rFonts w:eastAsia="Times New Roman"/>
        </w:rPr>
        <w:t>Ḥadīth</w:t>
      </w:r>
      <w:r w:rsidRPr="005965AA">
        <w:rPr>
          <w:rFonts w:eastAsia="Times New Roman"/>
        </w:rPr>
        <w:t xml:space="preserve"> that extended beyond formal isnād analysis. They incorporated spiritual experiences, considering them a means of validating </w:t>
      </w:r>
      <w:r>
        <w:rPr>
          <w:rFonts w:eastAsia="Times New Roman"/>
        </w:rPr>
        <w:t>Ḥadīth</w:t>
      </w:r>
      <w:r w:rsidRPr="005965AA">
        <w:rPr>
          <w:rFonts w:eastAsia="Times New Roman"/>
        </w:rPr>
        <w:t xml:space="preserve"> content, while maintaining respect for the established legal methodology.</w:t>
      </w:r>
    </w:p>
    <w:p w:rsidR="00E6533D" w:rsidRPr="005965AA" w:rsidP="00E6533D">
      <w:pPr>
        <w:pStyle w:val="1-1STPARA"/>
        <w:spacing w:line="24" w:lineRule="atLeast"/>
        <w:ind w:firstLine="720"/>
        <w:rPr>
          <w:rFonts w:eastAsia="Times New Roman"/>
        </w:rPr>
      </w:pPr>
      <w:r w:rsidRPr="005965AA">
        <w:rPr>
          <w:rFonts w:eastAsia="Times New Roman"/>
        </w:rPr>
        <w:t xml:space="preserve">Certain Sufi scholars believed in verifying </w:t>
      </w:r>
      <w:r>
        <w:rPr>
          <w:rFonts w:eastAsia="Times New Roman"/>
        </w:rPr>
        <w:t>Ḥadīth</w:t>
      </w:r>
      <w:r w:rsidRPr="005965AA">
        <w:rPr>
          <w:rFonts w:eastAsia="Times New Roman"/>
        </w:rPr>
        <w:t xml:space="preserve"> through spiritual experiences, which they considered complementary to the traditional isnād. This spiritual insight, often referred to as "kashf" (spiritual disclosure), was seen as an instinctive, divinely inspired means of discerning authentic prophetic sayings. Sufis like al-Qushayrī </w:t>
      </w:r>
      <w:r>
        <w:rPr>
          <w:rStyle w:val="FootnoteReference"/>
          <w:rFonts w:eastAsia="Times New Roman"/>
        </w:rPr>
        <w:footnoteReference w:id="20"/>
      </w:r>
      <w:r w:rsidRPr="005965AA">
        <w:rPr>
          <w:rFonts w:eastAsia="Times New Roman"/>
        </w:rPr>
        <w:t xml:space="preserve">(d. 1072) and al-Sulamī </w:t>
      </w:r>
      <w:r>
        <w:rPr>
          <w:rStyle w:val="FootnoteReference"/>
          <w:rFonts w:eastAsia="Times New Roman"/>
        </w:rPr>
        <w:footnoteReference w:id="21"/>
      </w:r>
      <w:r w:rsidRPr="005965AA">
        <w:rPr>
          <w:rFonts w:eastAsia="Times New Roman"/>
        </w:rPr>
        <w:t xml:space="preserve"> (d. 1034) are prime examples of </w:t>
      </w:r>
      <w:r w:rsidRPr="005965AA">
        <w:rPr>
          <w:rFonts w:eastAsia="Times New Roman"/>
        </w:rPr>
        <w:t xml:space="preserve">those who utilized both traditional </w:t>
      </w:r>
      <w:r>
        <w:rPr>
          <w:rFonts w:eastAsia="Times New Roman"/>
        </w:rPr>
        <w:t>Ḥadīth</w:t>
      </w:r>
      <w:r w:rsidRPr="005965AA">
        <w:rPr>
          <w:rFonts w:eastAsia="Times New Roman"/>
        </w:rPr>
        <w:t xml:space="preserve"> methodologies and spiritual insight. (Brown D. W., 2019, p. 266)</w:t>
      </w:r>
    </w:p>
    <w:p w:rsidR="00E6533D" w:rsidRPr="005965AA" w:rsidP="00E6533D">
      <w:pPr>
        <w:pStyle w:val="1-1STPARA"/>
        <w:spacing w:line="24" w:lineRule="atLeast"/>
        <w:ind w:firstLine="720"/>
        <w:rPr>
          <w:rFonts w:eastAsia="Times New Roman"/>
        </w:rPr>
      </w:pPr>
      <w:r>
        <w:rPr>
          <w:rFonts w:eastAsia="Times New Roman"/>
          <w:noProof/>
          <w:shd w:val="clear" w:color="auto" w:fill="auto"/>
          <w:lang w:val="en-US"/>
        </w:rPr>
        <w:pict>
          <v:shape id="_x0000_s1032" type="#_x0000_t202" style="width:38.1pt;height:22.75pt;margin-top:-70.3pt;margin-left:-10.35pt;position:absolute;z-index:251665408" stroked="f">
            <v:textbox>
              <w:txbxContent>
                <w:p w:rsidR="004A0722" w:rsidRPr="00CD7D70" w:rsidP="00542A00">
                  <w:pPr>
                    <w:jc w:val="center"/>
                    <w:rPr>
                      <w:rFonts w:asciiTheme="majorBidi" w:hAnsiTheme="majorBidi" w:cstheme="majorBidi"/>
                      <w:color w:val="7F7F7F" w:themeColor="text1" w:themeTint="80"/>
                      <w:sz w:val="18"/>
                      <w:szCs w:val="18"/>
                      <w:lang w:val="en-US"/>
                    </w:rPr>
                  </w:pPr>
                  <w:r>
                    <w:rPr>
                      <w:rFonts w:asciiTheme="majorBidi" w:hAnsiTheme="majorBidi" w:cstheme="majorBidi"/>
                      <w:color w:val="7F7F7F" w:themeColor="text1" w:themeTint="80"/>
                      <w:sz w:val="18"/>
                      <w:szCs w:val="18"/>
                      <w:lang w:val="en-US"/>
                    </w:rPr>
                    <w:t>42</w:t>
                  </w:r>
                </w:p>
              </w:txbxContent>
            </v:textbox>
          </v:shape>
        </w:pict>
      </w:r>
      <w:r w:rsidRPr="005965AA" w:rsidR="00E6533D">
        <w:rPr>
          <w:rFonts w:eastAsia="Times New Roman"/>
        </w:rPr>
        <w:t xml:space="preserve">In addition to standard methods, some Sufis viewed the Prophet as a living presence in their lives, manifesting in dreams or waking visions to confirm the authenticity of </w:t>
      </w:r>
      <w:r w:rsidR="00E6533D">
        <w:rPr>
          <w:rFonts w:eastAsia="Times New Roman"/>
        </w:rPr>
        <w:t>Ḥadīth</w:t>
      </w:r>
      <w:r w:rsidRPr="005965AA" w:rsidR="00E6533D">
        <w:rPr>
          <w:rFonts w:eastAsia="Times New Roman"/>
        </w:rPr>
        <w:t>. Through these spiritual encounters, they claimed to gain deeper knowledge and validation of prophetic sayings, asserting that the Prophet would sometimes inform them directly regarding the authenticity of certain narrations.</w:t>
      </w:r>
    </w:p>
    <w:p w:rsidR="00E6533D" w:rsidRPr="005965AA" w:rsidP="00E6533D">
      <w:pPr>
        <w:pStyle w:val="1-1STPARA"/>
        <w:spacing w:line="24" w:lineRule="atLeast"/>
        <w:ind w:firstLine="720"/>
        <w:jc w:val="lowKashida"/>
        <w:rPr>
          <w:rFonts w:eastAsia="Times New Roman"/>
        </w:rPr>
      </w:pPr>
      <w:r w:rsidRPr="005965AA">
        <w:rPr>
          <w:rFonts w:eastAsia="Times New Roman"/>
        </w:rPr>
        <w:t xml:space="preserve">Many Sufis expressed their spiritual experiences in their writings, narrating </w:t>
      </w:r>
      <w:r>
        <w:rPr>
          <w:rFonts w:eastAsia="Times New Roman"/>
        </w:rPr>
        <w:t>Ḥadīth</w:t>
      </w:r>
      <w:r w:rsidRPr="005965AA">
        <w:rPr>
          <w:rFonts w:eastAsia="Times New Roman"/>
        </w:rPr>
        <w:t xml:space="preserve"> with phrases such as ḥaddathanī qalbī ʿan Allāh ("my heart narrated from Allah"). This unique approach reflects a belief that their spiritual knowledge, received through inspiration from Allah, could act as a form of divine validation. (Zuhār, 2008, p. 4)</w:t>
      </w:r>
    </w:p>
    <w:p w:rsidR="00E6533D" w:rsidRPr="005965AA" w:rsidP="00E6533D">
      <w:pPr>
        <w:pStyle w:val="1-1STPARA"/>
        <w:spacing w:line="24" w:lineRule="atLeast"/>
        <w:ind w:firstLine="720"/>
        <w:rPr>
          <w:rFonts w:eastAsia="Times New Roman"/>
        </w:rPr>
      </w:pPr>
      <w:r w:rsidRPr="005965AA">
        <w:rPr>
          <w:rFonts w:eastAsia="Times New Roman"/>
        </w:rPr>
        <w:t>One well-known incident involving Ibn al-Ḥājj</w:t>
      </w:r>
      <w:r>
        <w:rPr>
          <w:rStyle w:val="FootnoteReference"/>
          <w:rFonts w:eastAsia="Times New Roman"/>
        </w:rPr>
        <w:footnoteReference w:id="22"/>
      </w:r>
      <w:r>
        <w:rPr>
          <w:rFonts w:eastAsia="Times New Roman"/>
        </w:rPr>
        <w:t xml:space="preserve"> </w:t>
      </w:r>
      <w:r w:rsidRPr="005965AA">
        <w:rPr>
          <w:rFonts w:eastAsia="Times New Roman"/>
        </w:rPr>
        <w:t xml:space="preserve">(d. 1336) illustrates this form of verification. After disregarding a </w:t>
      </w:r>
      <w:r>
        <w:rPr>
          <w:rFonts w:eastAsia="Times New Roman"/>
        </w:rPr>
        <w:t>Ḥadīth</w:t>
      </w:r>
      <w:r w:rsidRPr="005965AA">
        <w:rPr>
          <w:rFonts w:eastAsia="Times New Roman"/>
        </w:rPr>
        <w:t xml:space="preserve"> prohibiting cutting nails on Wednesday due to its weak isnād, he experienced a severe reaction (leprosy) and saw the Prophet in a dream. The Prophet reminded him of the prohibition, stating that the narration’s weakness was immaterial since he, the Prophet, had uttered it. This incident led Ibn al-Ḥājj to repent and affirm the importance of this narration despite traditional isnād analysis. (Brown J. A., </w:t>
      </w:r>
      <w:r>
        <w:rPr>
          <w:rFonts w:eastAsia="Times New Roman"/>
        </w:rPr>
        <w:t>Ḥadīth</w:t>
      </w:r>
      <w:r w:rsidRPr="005965AA">
        <w:rPr>
          <w:rFonts w:eastAsia="Times New Roman"/>
        </w:rPr>
        <w:t>: Muḥammad Legacy in the Medieval and Modern World (Foundations of Islam), p. 244)</w:t>
      </w:r>
    </w:p>
    <w:p w:rsidR="00E6533D" w:rsidRPr="005965AA" w:rsidP="00E6533D">
      <w:pPr>
        <w:pStyle w:val="1-1STPARA"/>
        <w:spacing w:line="24" w:lineRule="atLeast"/>
        <w:ind w:firstLine="720"/>
        <w:rPr>
          <w:rFonts w:eastAsia="Times New Roman"/>
        </w:rPr>
      </w:pPr>
      <w:r w:rsidRPr="005965AA">
        <w:rPr>
          <w:rFonts w:eastAsia="Times New Roman"/>
        </w:rPr>
        <w:t>Despite the profound respect for spiritual experience within Sufism, the Sharia places clear limits on its legal validity. Personal spiritual experiences, including dreams or visions of the Prophet, cannot override or establish legal rulings within Islamic law. Sufis themselves, as well as traditionalists, acknowledge that experiences such as dreams are subjective and not binding upon the broader community.</w:t>
      </w:r>
    </w:p>
    <w:p w:rsidR="00E6533D" w:rsidRPr="005965AA" w:rsidP="00E6533D">
      <w:pPr>
        <w:pStyle w:val="1-1STPARA"/>
        <w:spacing w:line="24" w:lineRule="atLeast"/>
        <w:ind w:firstLine="720"/>
        <w:rPr>
          <w:rFonts w:eastAsia="Times New Roman"/>
        </w:rPr>
      </w:pPr>
      <w:r w:rsidRPr="005965AA">
        <w:rPr>
          <w:rFonts w:eastAsia="Times New Roman"/>
        </w:rPr>
        <w:t xml:space="preserve">This cautious approach reflects the view that the </w:t>
      </w:r>
      <w:r>
        <w:rPr>
          <w:rFonts w:eastAsia="Times New Roman"/>
        </w:rPr>
        <w:t>Qurʾān</w:t>
      </w:r>
      <w:r w:rsidRPr="005965AA">
        <w:rPr>
          <w:rFonts w:eastAsia="Times New Roman"/>
        </w:rPr>
        <w:t>, the Sunnah, and established rulings serve as the unchanging foundation of Islamic law. Sufi scholars emphasize that while their experiences can confirm and illuminate aspects of faith, they must never contradict Sharia principles. Thus, while Sufi scholars valued their spiritual insights, they refrained from using these insights to establish new rulings or override existing legal norms.</w:t>
      </w:r>
    </w:p>
    <w:p w:rsidR="00E6533D" w:rsidP="00E6533D">
      <w:pPr>
        <w:pStyle w:val="1-1STPARA"/>
        <w:spacing w:line="24" w:lineRule="atLeast"/>
        <w:ind w:firstLine="720"/>
        <w:rPr>
          <w:rFonts w:eastAsia="Times New Roman"/>
        </w:rPr>
      </w:pPr>
      <w:r w:rsidRPr="005965AA">
        <w:rPr>
          <w:rFonts w:eastAsia="Times New Roman"/>
        </w:rPr>
        <w:t xml:space="preserve">Sufi scholars like al-Qushayrī and al-Sulamī exemplify this balance by adhering to the traditional methodologies of </w:t>
      </w:r>
      <w:r>
        <w:rPr>
          <w:rFonts w:eastAsia="Times New Roman"/>
        </w:rPr>
        <w:t>Ḥadīth</w:t>
      </w:r>
      <w:r w:rsidRPr="005965AA">
        <w:rPr>
          <w:rFonts w:eastAsia="Times New Roman"/>
        </w:rPr>
        <w:t xml:space="preserve"> authentication, even while engaging in spiritual practices. This demonstrates a "split-reconciliation hypothesis," where they managed to harmonize their spiritual insights with legalistic demands. (Brown D. W., 2019, p. 266)</w:t>
      </w:r>
    </w:p>
    <w:p w:rsidR="00E6533D" w:rsidRPr="005965AA" w:rsidP="00E6533D">
      <w:pPr>
        <w:pStyle w:val="1-1STPARA"/>
        <w:spacing w:line="24" w:lineRule="atLeast"/>
        <w:ind w:firstLine="720"/>
        <w:rPr>
          <w:rFonts w:eastAsia="Times New Roman"/>
        </w:rPr>
      </w:pPr>
    </w:p>
    <w:p w:rsidR="00E6533D" w:rsidRPr="005965AA" w:rsidP="00E6533D">
      <w:pPr>
        <w:pStyle w:val="1-1STPARA"/>
        <w:spacing w:line="24" w:lineRule="atLeast"/>
        <w:rPr>
          <w:rFonts w:eastAsia="Times New Roman"/>
          <w:b/>
          <w:bCs/>
          <w:sz w:val="24"/>
          <w:szCs w:val="24"/>
        </w:rPr>
      </w:pPr>
      <w:r w:rsidRPr="005965AA">
        <w:rPr>
          <w:rFonts w:eastAsia="Times New Roman"/>
          <w:b/>
          <w:bCs/>
          <w:sz w:val="24"/>
          <w:szCs w:val="24"/>
        </w:rPr>
        <w:t xml:space="preserve">Accepted </w:t>
      </w:r>
      <w:r>
        <w:rPr>
          <w:rFonts w:eastAsia="Times New Roman"/>
          <w:b/>
          <w:bCs/>
          <w:sz w:val="24"/>
          <w:szCs w:val="24"/>
        </w:rPr>
        <w:t>Ḥadīth</w:t>
      </w:r>
      <w:r w:rsidRPr="005965AA">
        <w:rPr>
          <w:rFonts w:eastAsia="Times New Roman"/>
          <w:b/>
          <w:bCs/>
          <w:sz w:val="24"/>
          <w:szCs w:val="24"/>
        </w:rPr>
        <w:t xml:space="preserve"> Transmission from Sufis</w:t>
      </w:r>
    </w:p>
    <w:p w:rsidR="00E6533D" w:rsidRPr="00072861" w:rsidP="00F6467A">
      <w:pPr>
        <w:pStyle w:val="1-1STPARA"/>
        <w:spacing w:line="24" w:lineRule="atLeast"/>
        <w:ind w:firstLine="720"/>
        <w:rPr>
          <w:rFonts w:eastAsia="Times New Roman"/>
        </w:rPr>
      </w:pPr>
      <w:r w:rsidRPr="005965AA">
        <w:rPr>
          <w:rFonts w:eastAsia="Times New Roman"/>
        </w:rPr>
        <w:t xml:space="preserve">The rigorous standards set by </w:t>
      </w:r>
      <w:r>
        <w:rPr>
          <w:rFonts w:eastAsia="Times New Roman"/>
        </w:rPr>
        <w:t>Ḥadīth</w:t>
      </w:r>
      <w:r w:rsidRPr="005965AA">
        <w:rPr>
          <w:rFonts w:eastAsia="Times New Roman"/>
        </w:rPr>
        <w:t xml:space="preserve"> scholars for accepting the transmission of </w:t>
      </w:r>
      <w:r>
        <w:rPr>
          <w:rFonts w:eastAsia="Times New Roman"/>
        </w:rPr>
        <w:t>Ḥadīth</w:t>
      </w:r>
      <w:r w:rsidRPr="005965AA">
        <w:rPr>
          <w:rFonts w:eastAsia="Times New Roman"/>
        </w:rPr>
        <w:t xml:space="preserve"> apply equally to Sufi narrators. When Sufis transmit </w:t>
      </w:r>
      <w:r>
        <w:rPr>
          <w:rFonts w:eastAsia="Times New Roman"/>
        </w:rPr>
        <w:t>Ḥadīth</w:t>
      </w:r>
      <w:r w:rsidRPr="005965AA">
        <w:rPr>
          <w:rFonts w:eastAsia="Times New Roman"/>
        </w:rPr>
        <w:t xml:space="preserve">s in accordance with these traditional methods—ensuring reliable chains of narration (isnād), credible transmitters, and an unbroken sanad (chain of narrators)—their narrations are acknowledged as valid and sound. This adherence to formal methodology reflects the commitment of early Sufi figures to uphold the integrity of </w:t>
      </w:r>
      <w:r>
        <w:rPr>
          <w:rFonts w:eastAsia="Times New Roman"/>
        </w:rPr>
        <w:t>Ḥadīth</w:t>
      </w:r>
      <w:r w:rsidRPr="005965AA">
        <w:rPr>
          <w:rFonts w:eastAsia="Times New Roman"/>
        </w:rPr>
        <w:t xml:space="preserve"> transmission. Notable Sufi scholars such as al-Ḥasan al-Baṣrī, al-Fuḍayl ibn ʿIyaḍ </w:t>
      </w:r>
      <w:r>
        <w:rPr>
          <w:rStyle w:val="FootnoteReference"/>
          <w:rFonts w:eastAsia="Times New Roman"/>
        </w:rPr>
        <w:footnoteReference w:id="23"/>
      </w:r>
      <w:r w:rsidRPr="005965AA">
        <w:rPr>
          <w:rFonts w:eastAsia="Times New Roman"/>
        </w:rPr>
        <w:t>, and Abū Ismāʿīl al-Anṣārī al-</w:t>
      </w:r>
      <w:r w:rsidRPr="005965AA">
        <w:rPr>
          <w:rFonts w:eastAsia="Times New Roman"/>
        </w:rPr>
        <w:t xml:space="preserve">Harawī </w:t>
      </w:r>
      <w:r>
        <w:rPr>
          <w:rStyle w:val="FootnoteReference"/>
          <w:rFonts w:eastAsia="Times New Roman"/>
        </w:rPr>
        <w:footnoteReference w:id="24"/>
      </w:r>
      <w:r w:rsidRPr="005965AA">
        <w:rPr>
          <w:rFonts w:eastAsia="Times New Roman"/>
        </w:rPr>
        <w:t xml:space="preserve"> were respected for following these legalistic approaches, demonstrating their dedication to both spiritual discipline and scholarly rigor. (</w:t>
      </w:r>
      <w:r w:rsidR="00F6467A">
        <w:rPr>
          <w:rFonts w:eastAsia="Times New Roman"/>
        </w:rPr>
        <w:t>a</w:t>
      </w:r>
      <w:r w:rsidRPr="005965AA">
        <w:rPr>
          <w:rFonts w:eastAsia="Times New Roman"/>
        </w:rPr>
        <w:t>l-Jawnphūrī, p. 129)</w:t>
      </w:r>
    </w:p>
    <w:p w:rsidR="00E6533D" w:rsidP="00E6533D">
      <w:pPr>
        <w:pStyle w:val="3-SubHead2"/>
        <w:spacing w:line="24" w:lineRule="atLeast"/>
        <w:rPr>
          <w:bCs/>
          <w:shd w:val="clear" w:color="auto" w:fill="FFFFFF"/>
        </w:rPr>
      </w:pPr>
      <w:bookmarkStart w:id="2" w:name="_Toc90914434"/>
      <w:r>
        <w:rPr>
          <w:noProof/>
          <w:lang w:val="en-US"/>
        </w:rPr>
        <w:pict>
          <v:shape id="_x0000_s1033" type="#_x0000_t202" style="width:38.1pt;height:22.75pt;margin-top:-80.7pt;margin-left:-8.95pt;position:absolute;z-index:251666432" stroked="f">
            <v:textbox>
              <w:txbxContent>
                <w:p w:rsidR="004A0722" w:rsidRPr="00CD7D70" w:rsidP="00542A00">
                  <w:pPr>
                    <w:jc w:val="center"/>
                    <w:rPr>
                      <w:rFonts w:asciiTheme="majorBidi" w:hAnsiTheme="majorBidi" w:cstheme="majorBidi"/>
                      <w:color w:val="7F7F7F" w:themeColor="text1" w:themeTint="80"/>
                      <w:sz w:val="18"/>
                      <w:szCs w:val="18"/>
                      <w:lang w:val="en-US"/>
                    </w:rPr>
                  </w:pPr>
                  <w:r>
                    <w:rPr>
                      <w:rFonts w:asciiTheme="majorBidi" w:hAnsiTheme="majorBidi" w:cstheme="majorBidi"/>
                      <w:color w:val="7F7F7F" w:themeColor="text1" w:themeTint="80"/>
                      <w:sz w:val="18"/>
                      <w:szCs w:val="18"/>
                      <w:lang w:val="en-US"/>
                    </w:rPr>
                    <w:t>44</w:t>
                  </w:r>
                </w:p>
              </w:txbxContent>
            </v:textbox>
          </v:shape>
        </w:pict>
      </w:r>
      <w:r w:rsidRPr="005965AA" w:rsidR="00E6533D">
        <w:rPr>
          <w:bCs/>
          <w:shd w:val="clear" w:color="auto" w:fill="FFFFFF"/>
        </w:rPr>
        <w:t xml:space="preserve">Rejected </w:t>
      </w:r>
      <w:r w:rsidR="00E6533D">
        <w:rPr>
          <w:bCs/>
          <w:shd w:val="clear" w:color="auto" w:fill="FFFFFF"/>
        </w:rPr>
        <w:t>Ḥadīth</w:t>
      </w:r>
      <w:r w:rsidRPr="005965AA" w:rsidR="00E6533D">
        <w:rPr>
          <w:bCs/>
          <w:shd w:val="clear" w:color="auto" w:fill="FFFFFF"/>
        </w:rPr>
        <w:t xml:space="preserve"> Transmission from Sufis</w:t>
      </w:r>
    </w:p>
    <w:p w:rsidR="00E6533D" w:rsidRPr="005965AA" w:rsidP="00E6533D">
      <w:pPr>
        <w:pStyle w:val="3-SubHead2"/>
        <w:spacing w:line="24" w:lineRule="atLeast"/>
        <w:rPr>
          <w:bCs/>
          <w:shd w:val="clear" w:color="auto" w:fill="FFFFFF"/>
        </w:rPr>
      </w:pPr>
    </w:p>
    <w:p w:rsidR="00E6533D" w:rsidRPr="005965AA" w:rsidP="00F6467A">
      <w:pPr>
        <w:pStyle w:val="3-SubHead2"/>
        <w:spacing w:line="24" w:lineRule="atLeast"/>
        <w:rPr>
          <w:b w:val="0"/>
          <w:sz w:val="22"/>
          <w:szCs w:val="22"/>
          <w:shd w:val="clear" w:color="auto" w:fill="FFFFFF"/>
        </w:rPr>
      </w:pPr>
      <w:r w:rsidRPr="005965AA">
        <w:rPr>
          <w:b w:val="0"/>
          <w:sz w:val="22"/>
          <w:szCs w:val="22"/>
          <w:shd w:val="clear" w:color="auto" w:fill="FFFFFF"/>
        </w:rPr>
        <w:t xml:space="preserve">Conversely, </w:t>
      </w:r>
      <w:r>
        <w:rPr>
          <w:b w:val="0"/>
          <w:sz w:val="22"/>
          <w:szCs w:val="22"/>
          <w:shd w:val="clear" w:color="auto" w:fill="FFFFFF"/>
        </w:rPr>
        <w:t>Ḥadīth</w:t>
      </w:r>
      <w:r w:rsidRPr="005965AA">
        <w:rPr>
          <w:b w:val="0"/>
          <w:sz w:val="22"/>
          <w:szCs w:val="22"/>
          <w:shd w:val="clear" w:color="auto" w:fill="FFFFFF"/>
        </w:rPr>
        <w:t xml:space="preserve"> scholars have rejected transmissions from Sufis that fail to meet the rigorous criteria of isnād and sanad authentication. Such instances occur when a Sufi narrator omits the necessary elements of an authentic chain of narration, leading scholars to question the credibility of the </w:t>
      </w:r>
      <w:r>
        <w:rPr>
          <w:b w:val="0"/>
          <w:sz w:val="22"/>
          <w:szCs w:val="22"/>
          <w:shd w:val="clear" w:color="auto" w:fill="FFFFFF"/>
        </w:rPr>
        <w:t>Ḥadīth</w:t>
      </w:r>
      <w:r w:rsidRPr="005965AA">
        <w:rPr>
          <w:b w:val="0"/>
          <w:sz w:val="22"/>
          <w:szCs w:val="22"/>
          <w:shd w:val="clear" w:color="auto" w:fill="FFFFFF"/>
        </w:rPr>
        <w:t xml:space="preserve">. Tāj al-Dīn al-Subkī exemplifies this cautious approach in his work, Takhrīj Aḥādīth al-Iḥyāʾ, where he critically analyzed the </w:t>
      </w:r>
      <w:r>
        <w:rPr>
          <w:b w:val="0"/>
          <w:sz w:val="22"/>
          <w:szCs w:val="22"/>
          <w:shd w:val="clear" w:color="auto" w:fill="FFFFFF"/>
        </w:rPr>
        <w:t>Ḥadīth</w:t>
      </w:r>
      <w:r w:rsidRPr="005965AA">
        <w:rPr>
          <w:b w:val="0"/>
          <w:sz w:val="22"/>
          <w:szCs w:val="22"/>
          <w:shd w:val="clear" w:color="auto" w:fill="FFFFFF"/>
        </w:rPr>
        <w:t xml:space="preserve">s cited by al-Ghazālī in Iḥyāʾ ʿUlūm al-Dīn. Al-Subkī found numerous narrations that lacked verifiable chains, thereby classifying them as unreliable according to traditional </w:t>
      </w:r>
      <w:r>
        <w:rPr>
          <w:b w:val="0"/>
          <w:sz w:val="22"/>
          <w:szCs w:val="22"/>
          <w:shd w:val="clear" w:color="auto" w:fill="FFFFFF"/>
        </w:rPr>
        <w:t>Ḥadīth</w:t>
      </w:r>
      <w:r w:rsidRPr="005965AA">
        <w:rPr>
          <w:b w:val="0"/>
          <w:sz w:val="22"/>
          <w:szCs w:val="22"/>
          <w:shd w:val="clear" w:color="auto" w:fill="FFFFFF"/>
        </w:rPr>
        <w:t xml:space="preserve"> standards. (</w:t>
      </w:r>
      <w:r w:rsidR="00F6467A">
        <w:rPr>
          <w:b w:val="0"/>
          <w:sz w:val="22"/>
          <w:szCs w:val="22"/>
          <w:shd w:val="clear" w:color="auto" w:fill="FFFFFF"/>
        </w:rPr>
        <w:t>a</w:t>
      </w:r>
      <w:r w:rsidRPr="005965AA">
        <w:rPr>
          <w:b w:val="0"/>
          <w:sz w:val="22"/>
          <w:szCs w:val="22"/>
          <w:shd w:val="clear" w:color="auto" w:fill="FFFFFF"/>
        </w:rPr>
        <w:t>l-Jawnphūrī, p. 130)</w:t>
      </w:r>
    </w:p>
    <w:p w:rsidR="00E6533D" w:rsidRPr="005965AA" w:rsidP="00F6467A">
      <w:pPr>
        <w:pStyle w:val="3-SubHead2"/>
        <w:spacing w:line="24" w:lineRule="atLeast"/>
        <w:ind w:firstLine="720"/>
        <w:rPr>
          <w:b w:val="0"/>
          <w:sz w:val="22"/>
          <w:szCs w:val="22"/>
          <w:shd w:val="clear" w:color="auto" w:fill="FFFFFF"/>
        </w:rPr>
      </w:pPr>
      <w:r w:rsidRPr="005965AA">
        <w:rPr>
          <w:b w:val="0"/>
          <w:sz w:val="22"/>
          <w:szCs w:val="22"/>
          <w:shd w:val="clear" w:color="auto" w:fill="FFFFFF"/>
        </w:rPr>
        <w:t xml:space="preserve">Despite these methodological limitations, </w:t>
      </w:r>
      <w:r>
        <w:rPr>
          <w:b w:val="0"/>
          <w:sz w:val="22"/>
          <w:szCs w:val="22"/>
          <w:shd w:val="clear" w:color="auto" w:fill="FFFFFF"/>
        </w:rPr>
        <w:t>Ḥadīth</w:t>
      </w:r>
      <w:r w:rsidRPr="005965AA">
        <w:rPr>
          <w:b w:val="0"/>
          <w:sz w:val="22"/>
          <w:szCs w:val="22"/>
          <w:shd w:val="clear" w:color="auto" w:fill="FFFFFF"/>
        </w:rPr>
        <w:t xml:space="preserve"> scholars have continued to respect Sufi scholars for their spiritual insights and their devotion to Allah. Sufis are often perceived as possessing knowledge inspired by divine illumination or direct prophetic influence. However, their spiritual narrations—be they derived from dreams, kashf (spiritual disclosure), or other mystical experiences—are accepted only when they align with the </w:t>
      </w:r>
      <w:r>
        <w:rPr>
          <w:b w:val="0"/>
          <w:sz w:val="22"/>
          <w:szCs w:val="22"/>
          <w:shd w:val="clear" w:color="auto" w:fill="FFFFFF"/>
        </w:rPr>
        <w:t>Qurʾān</w:t>
      </w:r>
      <w:r w:rsidRPr="005965AA">
        <w:rPr>
          <w:b w:val="0"/>
          <w:sz w:val="22"/>
          <w:szCs w:val="22"/>
          <w:shd w:val="clear" w:color="auto" w:fill="FFFFFF"/>
        </w:rPr>
        <w:t xml:space="preserve"> and established </w:t>
      </w:r>
      <w:r>
        <w:rPr>
          <w:b w:val="0"/>
          <w:sz w:val="22"/>
          <w:szCs w:val="22"/>
          <w:shd w:val="clear" w:color="auto" w:fill="FFFFFF"/>
        </w:rPr>
        <w:t>Ḥadīth</w:t>
      </w:r>
      <w:r w:rsidRPr="005965AA">
        <w:rPr>
          <w:b w:val="0"/>
          <w:sz w:val="22"/>
          <w:szCs w:val="22"/>
          <w:shd w:val="clear" w:color="auto" w:fill="FFFFFF"/>
        </w:rPr>
        <w:t xml:space="preserve">. Transmissions lacking the traditional isnād are ultimately rejected by </w:t>
      </w:r>
      <w:r>
        <w:rPr>
          <w:b w:val="0"/>
          <w:sz w:val="22"/>
          <w:szCs w:val="22"/>
          <w:shd w:val="clear" w:color="auto" w:fill="FFFFFF"/>
        </w:rPr>
        <w:t>Ḥadīth</w:t>
      </w:r>
      <w:r w:rsidRPr="005965AA">
        <w:rPr>
          <w:b w:val="0"/>
          <w:sz w:val="22"/>
          <w:szCs w:val="22"/>
          <w:shd w:val="clear" w:color="auto" w:fill="FFFFFF"/>
        </w:rPr>
        <w:t xml:space="preserve"> scholars, as they do not meet the criteria of a sound </w:t>
      </w:r>
      <w:r>
        <w:rPr>
          <w:b w:val="0"/>
          <w:sz w:val="22"/>
          <w:szCs w:val="22"/>
          <w:shd w:val="clear" w:color="auto" w:fill="FFFFFF"/>
        </w:rPr>
        <w:t>Ḥadīth</w:t>
      </w:r>
      <w:r w:rsidRPr="005965AA">
        <w:rPr>
          <w:b w:val="0"/>
          <w:sz w:val="22"/>
          <w:szCs w:val="22"/>
          <w:shd w:val="clear" w:color="auto" w:fill="FFFFFF"/>
        </w:rPr>
        <w:t xml:space="preserve"> according to legal methodology. (</w:t>
      </w:r>
      <w:r w:rsidR="00F6467A">
        <w:rPr>
          <w:b w:val="0"/>
          <w:sz w:val="22"/>
          <w:szCs w:val="22"/>
          <w:shd w:val="clear" w:color="auto" w:fill="FFFFFF"/>
        </w:rPr>
        <w:t>a</w:t>
      </w:r>
      <w:r w:rsidRPr="005965AA">
        <w:rPr>
          <w:b w:val="0"/>
          <w:sz w:val="22"/>
          <w:szCs w:val="22"/>
          <w:shd w:val="clear" w:color="auto" w:fill="FFFFFF"/>
        </w:rPr>
        <w:t>l-Nawawī A. Z., 2001, p. 65)</w:t>
      </w:r>
    </w:p>
    <w:p w:rsidR="00E6533D" w:rsidP="00E6533D">
      <w:pPr>
        <w:pStyle w:val="3-SubHead2"/>
        <w:spacing w:line="24" w:lineRule="atLeast"/>
        <w:ind w:firstLine="720"/>
        <w:rPr>
          <w:b w:val="0"/>
          <w:sz w:val="22"/>
          <w:szCs w:val="22"/>
          <w:shd w:val="clear" w:color="auto" w:fill="FFFFFF"/>
        </w:rPr>
      </w:pPr>
      <w:r w:rsidRPr="005965AA">
        <w:rPr>
          <w:b w:val="0"/>
          <w:sz w:val="22"/>
          <w:szCs w:val="22"/>
          <w:shd w:val="clear" w:color="auto" w:fill="FFFFFF"/>
        </w:rPr>
        <w:t xml:space="preserve">Thus, the transmission of </w:t>
      </w:r>
      <w:r>
        <w:rPr>
          <w:b w:val="0"/>
          <w:sz w:val="22"/>
          <w:szCs w:val="22"/>
          <w:shd w:val="clear" w:color="auto" w:fill="FFFFFF"/>
        </w:rPr>
        <w:t>Ḥadīth</w:t>
      </w:r>
      <w:r w:rsidRPr="005965AA">
        <w:rPr>
          <w:b w:val="0"/>
          <w:sz w:val="22"/>
          <w:szCs w:val="22"/>
          <w:shd w:val="clear" w:color="auto" w:fill="FFFFFF"/>
        </w:rPr>
        <w:t xml:space="preserve"> by Sufis illustrates a dual approach to knowledge: while traditional </w:t>
      </w:r>
      <w:r>
        <w:rPr>
          <w:b w:val="0"/>
          <w:sz w:val="22"/>
          <w:szCs w:val="22"/>
          <w:shd w:val="clear" w:color="auto" w:fill="FFFFFF"/>
        </w:rPr>
        <w:t>Ḥadīth</w:t>
      </w:r>
      <w:r w:rsidRPr="005965AA">
        <w:rPr>
          <w:b w:val="0"/>
          <w:sz w:val="22"/>
          <w:szCs w:val="22"/>
          <w:shd w:val="clear" w:color="auto" w:fill="FFFFFF"/>
        </w:rPr>
        <w:t xml:space="preserve"> scholars strictly adhere to chains of transmission, Sufis contribute with spiritual </w:t>
      </w:r>
      <w:r w:rsidRPr="005965AA">
        <w:rPr>
          <w:b w:val="0"/>
          <w:sz w:val="22"/>
          <w:szCs w:val="22"/>
          <w:shd w:val="clear" w:color="auto" w:fill="FFFFFF"/>
        </w:rPr>
        <w:t>perspectives that, while respected, remain supplementary unless corroborated by established Islamic sources.</w:t>
      </w:r>
    </w:p>
    <w:p w:rsidR="00E6533D" w:rsidRPr="005965AA" w:rsidP="00E6533D">
      <w:pPr>
        <w:pStyle w:val="3-SubHead2"/>
        <w:spacing w:line="24" w:lineRule="atLeast"/>
        <w:ind w:firstLine="720"/>
        <w:rPr>
          <w:b w:val="0"/>
          <w:sz w:val="22"/>
          <w:szCs w:val="22"/>
          <w:shd w:val="clear" w:color="auto" w:fill="FFFFFF"/>
        </w:rPr>
      </w:pPr>
    </w:p>
    <w:p w:rsidR="00E6533D" w:rsidP="00E6533D">
      <w:pPr>
        <w:pStyle w:val="3-SubHead2"/>
        <w:spacing w:line="24" w:lineRule="atLeast"/>
        <w:rPr>
          <w:bCs/>
          <w:shd w:val="clear" w:color="auto" w:fill="FFFFFF"/>
        </w:rPr>
      </w:pPr>
      <w:r w:rsidRPr="005965AA">
        <w:rPr>
          <w:bCs/>
          <w:shd w:val="clear" w:color="auto" w:fill="FFFFFF"/>
        </w:rPr>
        <w:t xml:space="preserve">Sufis’ Methodology of Authenticating a </w:t>
      </w:r>
      <w:r>
        <w:rPr>
          <w:bCs/>
          <w:shd w:val="clear" w:color="auto" w:fill="FFFFFF"/>
        </w:rPr>
        <w:t>Ḥadīth</w:t>
      </w:r>
    </w:p>
    <w:p w:rsidR="00E6533D" w:rsidRPr="005965AA" w:rsidP="00E6533D">
      <w:pPr>
        <w:pStyle w:val="3-SubHead2"/>
        <w:spacing w:line="24" w:lineRule="atLeast"/>
        <w:rPr>
          <w:bCs/>
          <w:shd w:val="clear" w:color="auto" w:fill="FFFFFF"/>
        </w:rPr>
      </w:pPr>
    </w:p>
    <w:p w:rsidR="00E6533D" w:rsidRPr="005965AA" w:rsidP="00E6533D">
      <w:pPr>
        <w:pStyle w:val="3-SubHead2"/>
        <w:spacing w:line="24" w:lineRule="atLeast"/>
        <w:rPr>
          <w:b w:val="0"/>
          <w:sz w:val="22"/>
          <w:szCs w:val="22"/>
          <w:shd w:val="clear" w:color="auto" w:fill="FFFFFF"/>
        </w:rPr>
      </w:pPr>
      <w:r w:rsidRPr="005965AA">
        <w:rPr>
          <w:b w:val="0"/>
          <w:sz w:val="22"/>
          <w:szCs w:val="22"/>
          <w:shd w:val="clear" w:color="auto" w:fill="FFFFFF"/>
        </w:rPr>
        <w:t xml:space="preserve">In the Sufi tradition, the validation of </w:t>
      </w:r>
      <w:r>
        <w:rPr>
          <w:b w:val="0"/>
          <w:sz w:val="22"/>
          <w:szCs w:val="22"/>
          <w:shd w:val="clear" w:color="auto" w:fill="FFFFFF"/>
        </w:rPr>
        <w:t>Ḥadīth</w:t>
      </w:r>
      <w:r w:rsidRPr="005965AA">
        <w:rPr>
          <w:b w:val="0"/>
          <w:sz w:val="22"/>
          <w:szCs w:val="22"/>
          <w:shd w:val="clear" w:color="auto" w:fill="FFFFFF"/>
        </w:rPr>
        <w:t xml:space="preserve"> does not rely solely on the rigorous legal criteria used by </w:t>
      </w:r>
      <w:r>
        <w:rPr>
          <w:b w:val="0"/>
          <w:sz w:val="22"/>
          <w:szCs w:val="22"/>
          <w:shd w:val="clear" w:color="auto" w:fill="FFFFFF"/>
        </w:rPr>
        <w:t>Ḥadīth</w:t>
      </w:r>
      <w:r w:rsidRPr="005965AA">
        <w:rPr>
          <w:b w:val="0"/>
          <w:sz w:val="22"/>
          <w:szCs w:val="22"/>
          <w:shd w:val="clear" w:color="auto" w:fill="FFFFFF"/>
        </w:rPr>
        <w:t xml:space="preserve"> scholars; it often incorporates mystical and spiritual experiences. Sufis believe that divine encounters—such as kashf (spiritual disclosure), tajārib (personal experiences), and dreams in which the Prophet appears—can serve as reliable sources of </w:t>
      </w:r>
      <w:r>
        <w:rPr>
          <w:b w:val="0"/>
          <w:sz w:val="22"/>
          <w:szCs w:val="22"/>
          <w:shd w:val="clear" w:color="auto" w:fill="FFFFFF"/>
        </w:rPr>
        <w:t>Ḥadīth</w:t>
      </w:r>
      <w:r w:rsidRPr="005965AA">
        <w:rPr>
          <w:b w:val="0"/>
          <w:sz w:val="22"/>
          <w:szCs w:val="22"/>
          <w:shd w:val="clear" w:color="auto" w:fill="FFFFFF"/>
        </w:rPr>
        <w:t xml:space="preserve"> authentication. This dual approach is exemplified by the term “Lam yaṣiḥḥ min ṭarīq al-muḥaddithīn, wa-ṣaḥḥa min ṭarīq al-mashāʾikh” (meaning, “This </w:t>
      </w:r>
      <w:r>
        <w:rPr>
          <w:b w:val="0"/>
          <w:sz w:val="22"/>
          <w:szCs w:val="22"/>
          <w:shd w:val="clear" w:color="auto" w:fill="FFFFFF"/>
        </w:rPr>
        <w:t>Ḥadīth</w:t>
      </w:r>
      <w:r w:rsidRPr="005965AA">
        <w:rPr>
          <w:b w:val="0"/>
          <w:sz w:val="22"/>
          <w:szCs w:val="22"/>
          <w:shd w:val="clear" w:color="auto" w:fill="FFFFFF"/>
        </w:rPr>
        <w:t xml:space="preserve"> is not authenticated through the route of </w:t>
      </w:r>
      <w:r>
        <w:rPr>
          <w:b w:val="0"/>
          <w:sz w:val="22"/>
          <w:szCs w:val="22"/>
          <w:shd w:val="clear" w:color="auto" w:fill="FFFFFF"/>
        </w:rPr>
        <w:t>Ḥadīth</w:t>
      </w:r>
      <w:r w:rsidRPr="005965AA">
        <w:rPr>
          <w:b w:val="0"/>
          <w:sz w:val="22"/>
          <w:szCs w:val="22"/>
          <w:shd w:val="clear" w:color="auto" w:fill="FFFFFF"/>
        </w:rPr>
        <w:t xml:space="preserve"> scholars but is authenticated through the route of the Sufi masters”)</w:t>
      </w:r>
      <w:r>
        <w:rPr>
          <w:rStyle w:val="FootnoteReference"/>
          <w:b w:val="0"/>
          <w:sz w:val="22"/>
          <w:szCs w:val="22"/>
          <w:shd w:val="clear" w:color="auto" w:fill="FFFFFF"/>
        </w:rPr>
        <w:footnoteReference w:id="25"/>
      </w:r>
      <w:r>
        <w:rPr>
          <w:b w:val="0"/>
          <w:sz w:val="22"/>
          <w:szCs w:val="22"/>
          <w:shd w:val="clear" w:color="auto" w:fill="FFFFFF"/>
        </w:rPr>
        <w:t xml:space="preserve">. </w:t>
      </w:r>
      <w:r w:rsidRPr="005965AA">
        <w:rPr>
          <w:b w:val="0"/>
          <w:sz w:val="22"/>
          <w:szCs w:val="22"/>
          <w:shd w:val="clear" w:color="auto" w:fill="FFFFFF"/>
        </w:rPr>
        <w:t xml:space="preserve">For Sufis, these spiritual experiences provide an internal confirmation of the </w:t>
      </w:r>
      <w:r>
        <w:rPr>
          <w:b w:val="0"/>
          <w:sz w:val="22"/>
          <w:szCs w:val="22"/>
          <w:shd w:val="clear" w:color="auto" w:fill="FFFFFF"/>
        </w:rPr>
        <w:t>Ḥadīth</w:t>
      </w:r>
      <w:r w:rsidRPr="005965AA">
        <w:rPr>
          <w:b w:val="0"/>
          <w:sz w:val="22"/>
          <w:szCs w:val="22"/>
          <w:shd w:val="clear" w:color="auto" w:fill="FFFFFF"/>
        </w:rPr>
        <w:t>’s authenticity, regardless of traditional chains of transmission.</w:t>
      </w:r>
    </w:p>
    <w:p w:rsidR="00E6533D" w:rsidRPr="005965AA" w:rsidP="00E6533D">
      <w:pPr>
        <w:pStyle w:val="3-SubHead2"/>
        <w:spacing w:line="24" w:lineRule="atLeast"/>
        <w:ind w:firstLine="720"/>
        <w:rPr>
          <w:b w:val="0"/>
          <w:sz w:val="22"/>
          <w:szCs w:val="22"/>
          <w:shd w:val="clear" w:color="auto" w:fill="FFFFFF"/>
        </w:rPr>
      </w:pPr>
      <w:r w:rsidRPr="005965AA">
        <w:rPr>
          <w:b w:val="0"/>
          <w:sz w:val="22"/>
          <w:szCs w:val="22"/>
          <w:shd w:val="clear" w:color="auto" w:fill="FFFFFF"/>
        </w:rPr>
        <w:t xml:space="preserve">From a Sufi perspective, if a </w:t>
      </w:r>
      <w:r>
        <w:rPr>
          <w:b w:val="0"/>
          <w:sz w:val="22"/>
          <w:szCs w:val="22"/>
          <w:shd w:val="clear" w:color="auto" w:fill="FFFFFF"/>
        </w:rPr>
        <w:t>Ḥadīth</w:t>
      </w:r>
      <w:r w:rsidRPr="005965AA">
        <w:rPr>
          <w:b w:val="0"/>
          <w:sz w:val="22"/>
          <w:szCs w:val="22"/>
          <w:shd w:val="clear" w:color="auto" w:fill="FFFFFF"/>
        </w:rPr>
        <w:t xml:space="preserve"> is confirmed as authentic through kashf or through the Prophet’s own confirmation in a dream, there is no further need for isnād (chain of narration) or corroborative </w:t>
      </w:r>
      <w:r>
        <w:rPr>
          <w:b w:val="0"/>
          <w:sz w:val="22"/>
          <w:szCs w:val="22"/>
          <w:shd w:val="clear" w:color="auto" w:fill="FFFFFF"/>
        </w:rPr>
        <w:t xml:space="preserve">sources. Such confirmations are </w:t>
      </w:r>
      <w:r w:rsidRPr="005965AA">
        <w:rPr>
          <w:b w:val="0"/>
          <w:sz w:val="22"/>
          <w:szCs w:val="22"/>
          <w:shd w:val="clear" w:color="auto" w:fill="FFFFFF"/>
        </w:rPr>
        <w:t xml:space="preserve">viewed as equally, if not more, authoritative than conventional methods because the Prophet himself is believed to have directly endorsed the </w:t>
      </w:r>
      <w:r>
        <w:rPr>
          <w:b w:val="0"/>
          <w:sz w:val="22"/>
          <w:szCs w:val="22"/>
          <w:shd w:val="clear" w:color="auto" w:fill="FFFFFF"/>
        </w:rPr>
        <w:t>Ḥadīth</w:t>
      </w:r>
      <w:r w:rsidRPr="005965AA">
        <w:rPr>
          <w:b w:val="0"/>
          <w:sz w:val="22"/>
          <w:szCs w:val="22"/>
          <w:shd w:val="clear" w:color="auto" w:fill="FFFFFF"/>
        </w:rPr>
        <w:t xml:space="preserve">’s authenticity. Sufis thus value personal spiritual insight as an avenue for </w:t>
      </w:r>
      <w:r>
        <w:rPr>
          <w:b w:val="0"/>
          <w:sz w:val="22"/>
          <w:szCs w:val="22"/>
          <w:shd w:val="clear" w:color="auto" w:fill="FFFFFF"/>
        </w:rPr>
        <w:t>Ḥadīth</w:t>
      </w:r>
      <w:r w:rsidRPr="005965AA">
        <w:rPr>
          <w:b w:val="0"/>
          <w:sz w:val="22"/>
          <w:szCs w:val="22"/>
          <w:shd w:val="clear" w:color="auto" w:fill="FFFFFF"/>
        </w:rPr>
        <w:t xml:space="preserve"> validation, diverging from the strict methodological framework upheld by </w:t>
      </w:r>
      <w:r>
        <w:rPr>
          <w:b w:val="0"/>
          <w:sz w:val="22"/>
          <w:szCs w:val="22"/>
          <w:shd w:val="clear" w:color="auto" w:fill="FFFFFF"/>
        </w:rPr>
        <w:t>Ḥadīth</w:t>
      </w:r>
      <w:r w:rsidRPr="005965AA">
        <w:rPr>
          <w:b w:val="0"/>
          <w:sz w:val="22"/>
          <w:szCs w:val="22"/>
          <w:shd w:val="clear" w:color="auto" w:fill="FFFFFF"/>
        </w:rPr>
        <w:t xml:space="preserve"> scholars.</w:t>
      </w:r>
    </w:p>
    <w:p w:rsidR="00E6533D" w:rsidP="00E6533D">
      <w:pPr>
        <w:pStyle w:val="3-SubHead2"/>
        <w:spacing w:line="24" w:lineRule="atLeast"/>
        <w:ind w:firstLine="720"/>
        <w:rPr>
          <w:b w:val="0"/>
          <w:sz w:val="22"/>
          <w:szCs w:val="22"/>
          <w:shd w:val="clear" w:color="auto" w:fill="FFFFFF"/>
        </w:rPr>
      </w:pPr>
      <w:r w:rsidRPr="005965AA">
        <w:rPr>
          <w:b w:val="0"/>
          <w:sz w:val="22"/>
          <w:szCs w:val="22"/>
          <w:shd w:val="clear" w:color="auto" w:fill="FFFFFF"/>
        </w:rPr>
        <w:t xml:space="preserve">These practices underscore a core distinction between Sufi and </w:t>
      </w:r>
      <w:r>
        <w:rPr>
          <w:b w:val="0"/>
          <w:sz w:val="22"/>
          <w:szCs w:val="22"/>
          <w:shd w:val="clear" w:color="auto" w:fill="FFFFFF"/>
        </w:rPr>
        <w:t>Ḥadīth</w:t>
      </w:r>
      <w:r w:rsidRPr="005965AA">
        <w:rPr>
          <w:b w:val="0"/>
          <w:sz w:val="22"/>
          <w:szCs w:val="22"/>
          <w:shd w:val="clear" w:color="auto" w:fill="FFFFFF"/>
        </w:rPr>
        <w:t xml:space="preserve"> methodologies: while </w:t>
      </w:r>
      <w:r>
        <w:rPr>
          <w:b w:val="0"/>
          <w:sz w:val="22"/>
          <w:szCs w:val="22"/>
          <w:shd w:val="clear" w:color="auto" w:fill="FFFFFF"/>
        </w:rPr>
        <w:t>Ḥadīth</w:t>
      </w:r>
      <w:r w:rsidRPr="005965AA">
        <w:rPr>
          <w:b w:val="0"/>
          <w:sz w:val="22"/>
          <w:szCs w:val="22"/>
          <w:shd w:val="clear" w:color="auto" w:fill="FFFFFF"/>
        </w:rPr>
        <w:t xml:space="preserve"> scholars prioritize documented chains of transmission, Sufis emphasize the significance of experiential knowledge as an equally legitimate means of accessing the Prophet’s teachings. This perspective illustrates how Sufis balance respect for traditional </w:t>
      </w:r>
      <w:r>
        <w:rPr>
          <w:b w:val="0"/>
          <w:sz w:val="22"/>
          <w:szCs w:val="22"/>
          <w:shd w:val="clear" w:color="auto" w:fill="FFFFFF"/>
        </w:rPr>
        <w:t>Ḥadīth</w:t>
      </w:r>
      <w:r w:rsidRPr="005965AA">
        <w:rPr>
          <w:b w:val="0"/>
          <w:sz w:val="22"/>
          <w:szCs w:val="22"/>
          <w:shd w:val="clear" w:color="auto" w:fill="FFFFFF"/>
        </w:rPr>
        <w:t xml:space="preserve"> sciences with a belief in the validity of direct, mystical verification, expanding the interpretative frameworks of Islamic scholarship.</w:t>
      </w:r>
    </w:p>
    <w:p w:rsidR="00E6533D" w:rsidP="00E6533D">
      <w:pPr>
        <w:pStyle w:val="3-SubHead2"/>
        <w:spacing w:line="24" w:lineRule="atLeast"/>
        <w:rPr>
          <w:b w:val="0"/>
          <w:sz w:val="22"/>
          <w:szCs w:val="22"/>
          <w:shd w:val="clear" w:color="auto" w:fill="FFFFFF"/>
        </w:rPr>
      </w:pPr>
    </w:p>
    <w:p w:rsidR="006D5E56" w:rsidP="00E6533D">
      <w:pPr>
        <w:pStyle w:val="3-SubHead2"/>
        <w:spacing w:line="24" w:lineRule="atLeast"/>
        <w:rPr>
          <w:b w:val="0"/>
          <w:sz w:val="22"/>
          <w:szCs w:val="22"/>
          <w:shd w:val="clear" w:color="auto" w:fill="FFFFFF"/>
        </w:rPr>
      </w:pPr>
    </w:p>
    <w:p w:rsidR="006D5E56" w:rsidP="00E6533D">
      <w:pPr>
        <w:pStyle w:val="3-SubHead2"/>
        <w:spacing w:line="24" w:lineRule="atLeast"/>
        <w:rPr>
          <w:b w:val="0"/>
          <w:sz w:val="22"/>
          <w:szCs w:val="22"/>
          <w:shd w:val="clear" w:color="auto" w:fill="FFFFFF"/>
        </w:rPr>
      </w:pPr>
    </w:p>
    <w:p w:rsidR="006D5E56" w:rsidRPr="005965AA" w:rsidP="00E6533D">
      <w:pPr>
        <w:pStyle w:val="3-SubHead2"/>
        <w:spacing w:line="24" w:lineRule="atLeast"/>
        <w:rPr>
          <w:b w:val="0"/>
          <w:sz w:val="22"/>
          <w:szCs w:val="22"/>
          <w:shd w:val="clear" w:color="auto" w:fill="FFFFFF"/>
        </w:rPr>
      </w:pPr>
    </w:p>
    <w:p w:rsidR="00E6533D" w:rsidP="00005FE9">
      <w:pPr>
        <w:pStyle w:val="3-SubHead2"/>
        <w:spacing w:line="276" w:lineRule="auto"/>
        <w:rPr>
          <w:bCs/>
          <w:shd w:val="clear" w:color="auto" w:fill="FFFFFF"/>
        </w:rPr>
      </w:pPr>
      <w:r>
        <w:rPr>
          <w:b w:val="0"/>
          <w:noProof/>
          <w:sz w:val="22"/>
          <w:szCs w:val="22"/>
          <w:lang w:val="en-US"/>
        </w:rPr>
        <w:pict>
          <v:shape id="_x0000_s1034" type="#_x0000_t202" style="width:38.1pt;height:22.75pt;margin-top:-39.1pt;margin-left:4.5pt;position:absolute;z-index:251667456" stroked="f">
            <v:textbox>
              <w:txbxContent>
                <w:p w:rsidR="004A0722" w:rsidRPr="00CD7D70" w:rsidP="00542A00">
                  <w:pPr>
                    <w:jc w:val="center"/>
                    <w:rPr>
                      <w:rFonts w:asciiTheme="majorBidi" w:hAnsiTheme="majorBidi" w:cstheme="majorBidi"/>
                      <w:color w:val="7F7F7F" w:themeColor="text1" w:themeTint="80"/>
                      <w:sz w:val="18"/>
                      <w:szCs w:val="18"/>
                      <w:lang w:val="en-US"/>
                    </w:rPr>
                  </w:pPr>
                  <w:r>
                    <w:rPr>
                      <w:rFonts w:asciiTheme="majorBidi" w:hAnsiTheme="majorBidi" w:cstheme="majorBidi"/>
                      <w:color w:val="7F7F7F" w:themeColor="text1" w:themeTint="80"/>
                      <w:sz w:val="18"/>
                      <w:szCs w:val="18"/>
                      <w:lang w:val="en-US"/>
                    </w:rPr>
                    <w:t>46</w:t>
                  </w:r>
                </w:p>
              </w:txbxContent>
            </v:textbox>
          </v:shape>
        </w:pict>
      </w:r>
      <w:r w:rsidRPr="005965AA" w:rsidR="00E6533D">
        <w:rPr>
          <w:bCs/>
          <w:shd w:val="clear" w:color="auto" w:fill="FFFFFF"/>
        </w:rPr>
        <w:t xml:space="preserve">Authentication of </w:t>
      </w:r>
      <w:r w:rsidR="00E6533D">
        <w:rPr>
          <w:bCs/>
          <w:shd w:val="clear" w:color="auto" w:fill="FFFFFF"/>
        </w:rPr>
        <w:t>Ḥadīth</w:t>
      </w:r>
      <w:r w:rsidRPr="005965AA" w:rsidR="00E6533D">
        <w:rPr>
          <w:bCs/>
          <w:shd w:val="clear" w:color="auto" w:fill="FFFFFF"/>
        </w:rPr>
        <w:t xml:space="preserve"> by Kashf: The Role of Spiritual Disclosure in Sufi Tradition</w:t>
      </w:r>
    </w:p>
    <w:p w:rsidR="006D5E56" w:rsidRPr="005965AA" w:rsidP="00005FE9">
      <w:pPr>
        <w:pStyle w:val="3-SubHead2"/>
        <w:spacing w:line="276" w:lineRule="auto"/>
        <w:rPr>
          <w:bCs/>
          <w:shd w:val="clear" w:color="auto" w:fill="FFFFFF"/>
        </w:rPr>
      </w:pPr>
    </w:p>
    <w:p w:rsidR="00E6533D" w:rsidRPr="005965AA" w:rsidP="00005FE9">
      <w:pPr>
        <w:pStyle w:val="3-SubHead2"/>
        <w:spacing w:line="276" w:lineRule="auto"/>
        <w:rPr>
          <w:b w:val="0"/>
          <w:sz w:val="22"/>
          <w:szCs w:val="22"/>
          <w:shd w:val="clear" w:color="auto" w:fill="FFFFFF"/>
        </w:rPr>
      </w:pPr>
      <w:r w:rsidRPr="005965AA">
        <w:rPr>
          <w:b w:val="0"/>
          <w:sz w:val="22"/>
          <w:szCs w:val="22"/>
          <w:shd w:val="clear" w:color="auto" w:fill="FFFFFF"/>
        </w:rPr>
        <w:t xml:space="preserve">In Sufi tradition, the process of authenticating </w:t>
      </w:r>
      <w:r>
        <w:rPr>
          <w:b w:val="0"/>
          <w:sz w:val="22"/>
          <w:szCs w:val="22"/>
          <w:shd w:val="clear" w:color="auto" w:fill="FFFFFF"/>
        </w:rPr>
        <w:t>Ḥadīth</w:t>
      </w:r>
      <w:r w:rsidRPr="005965AA">
        <w:rPr>
          <w:b w:val="0"/>
          <w:sz w:val="22"/>
          <w:szCs w:val="22"/>
          <w:shd w:val="clear" w:color="auto" w:fill="FFFFFF"/>
        </w:rPr>
        <w:t xml:space="preserve"> extends beyond conventional methodologies, encompassing experiences of spiritual disclosure or kashf (unveiling), which allows for an intuitive form of knowledge granted as an extraordinary gift from God, known as karāma. This unveiling may also be described as ilhām (inspiration) or firāsa (insight), distinguished from waḥy (revelation) granted solely to Prophets. While kashf, ilhām, and firāsaenable access to unique spiritual knowledge, they are understood to be less definitive than prophetic revelation and are generally viewed as reversible and subjective. The experiential knowledge attained through kashf can occur in a visionary state (mushāhada) or through an auditory experience (mukhāṭaba), and may happen in dreams (bil-ru’yā) or while awake (yaqaẓatan). In Sufi terminology, these revelations are also referred to as fatḥ (major opening), signalling a profound spiritual insight. (Haddad, Sunna Notes: Studies in Ḥadith and Doctrine, 2005, p. 141)</w:t>
      </w:r>
    </w:p>
    <w:p w:rsidR="00E6533D" w:rsidP="00E6533D">
      <w:pPr>
        <w:pStyle w:val="3-SubHead2"/>
        <w:spacing w:line="24" w:lineRule="atLeast"/>
        <w:ind w:firstLine="720"/>
        <w:rPr>
          <w:b w:val="0"/>
          <w:sz w:val="22"/>
          <w:szCs w:val="22"/>
          <w:shd w:val="clear" w:color="auto" w:fill="FFFFFF"/>
        </w:rPr>
      </w:pPr>
      <w:r w:rsidRPr="005965AA">
        <w:rPr>
          <w:b w:val="0"/>
          <w:sz w:val="22"/>
          <w:szCs w:val="22"/>
          <w:shd w:val="clear" w:color="auto" w:fill="FFFFFF"/>
        </w:rPr>
        <w:t xml:space="preserve">Scholars such as Ibn ʿArabī emphasized the efficacy of kashf in attaining certain types of knowledge, contrasting it with the probabilistic approach of Sunni </w:t>
      </w:r>
      <w:r>
        <w:rPr>
          <w:b w:val="0"/>
          <w:sz w:val="22"/>
          <w:szCs w:val="22"/>
          <w:shd w:val="clear" w:color="auto" w:fill="FFFFFF"/>
        </w:rPr>
        <w:t>Ḥadīth</w:t>
      </w:r>
      <w:r w:rsidRPr="005965AA">
        <w:rPr>
          <w:b w:val="0"/>
          <w:sz w:val="22"/>
          <w:szCs w:val="22"/>
          <w:shd w:val="clear" w:color="auto" w:fill="FFFFFF"/>
        </w:rPr>
        <w:t xml:space="preserve"> criticism, which relies heavily on isnād (chains of transmission). For Sufi masters like Ibn ʿArabī, kashf offers a direct, qualitative understanding of the divine, a stance echoed in al-Basṭāmī's </w:t>
      </w:r>
      <w:r>
        <w:rPr>
          <w:rStyle w:val="FootnoteReference"/>
          <w:b w:val="0"/>
          <w:sz w:val="22"/>
          <w:szCs w:val="22"/>
          <w:shd w:val="clear" w:color="auto" w:fill="FFFFFF"/>
        </w:rPr>
        <w:footnoteReference w:id="26"/>
      </w:r>
      <w:r w:rsidRPr="005965AA">
        <w:rPr>
          <w:b w:val="0"/>
          <w:sz w:val="22"/>
          <w:szCs w:val="22"/>
          <w:shd w:val="clear" w:color="auto" w:fill="FFFFFF"/>
        </w:rPr>
        <w:t xml:space="preserve"> claim, “You take your knowledge dead from the dead, but I take my knowledge from the Living One who does not die.” Thus, Sufis regard kashf as an alternative, experiential means of </w:t>
      </w:r>
      <w:r>
        <w:rPr>
          <w:b w:val="0"/>
          <w:sz w:val="22"/>
          <w:szCs w:val="22"/>
          <w:shd w:val="clear" w:color="auto" w:fill="FFFFFF"/>
        </w:rPr>
        <w:t>Ḥadīth</w:t>
      </w:r>
      <w:r w:rsidRPr="005965AA">
        <w:rPr>
          <w:b w:val="0"/>
          <w:sz w:val="22"/>
          <w:szCs w:val="22"/>
          <w:shd w:val="clear" w:color="auto" w:fill="FFFFFF"/>
        </w:rPr>
        <w:t xml:space="preserve"> verification, grounded in a conviction that authentic knowledge can be derived from direct, mystical encounters with the Divine. (Brown J. A., </w:t>
      </w:r>
      <w:r>
        <w:rPr>
          <w:b w:val="0"/>
          <w:sz w:val="22"/>
          <w:szCs w:val="22"/>
          <w:shd w:val="clear" w:color="auto" w:fill="FFFFFF"/>
        </w:rPr>
        <w:t>Ḥadīth</w:t>
      </w:r>
      <w:r w:rsidRPr="005965AA">
        <w:rPr>
          <w:b w:val="0"/>
          <w:sz w:val="22"/>
          <w:szCs w:val="22"/>
          <w:shd w:val="clear" w:color="auto" w:fill="FFFFFF"/>
        </w:rPr>
        <w:t xml:space="preserve">: Muḥammad Legacy in the Medieval and Modern World (Foundations of Islam), p. 223) </w:t>
      </w:r>
    </w:p>
    <w:p w:rsidR="00860587" w:rsidP="00E6533D">
      <w:pPr>
        <w:pStyle w:val="3-SubHead2"/>
        <w:spacing w:line="24" w:lineRule="atLeast"/>
        <w:ind w:firstLine="720"/>
        <w:rPr>
          <w:b w:val="0"/>
          <w:sz w:val="22"/>
          <w:szCs w:val="22"/>
          <w:shd w:val="clear" w:color="auto" w:fill="FFFFFF"/>
        </w:rPr>
      </w:pPr>
    </w:p>
    <w:p w:rsidR="00860587" w:rsidP="00E6533D">
      <w:pPr>
        <w:pStyle w:val="3-SubHead2"/>
        <w:spacing w:line="24" w:lineRule="atLeast"/>
        <w:ind w:firstLine="720"/>
        <w:rPr>
          <w:b w:val="0"/>
          <w:sz w:val="22"/>
          <w:szCs w:val="22"/>
          <w:shd w:val="clear" w:color="auto" w:fill="FFFFFF"/>
        </w:rPr>
      </w:pPr>
    </w:p>
    <w:p w:rsidR="00E6533D" w:rsidP="00E6533D">
      <w:pPr>
        <w:pStyle w:val="3-SubHead2"/>
        <w:spacing w:line="24" w:lineRule="atLeast"/>
        <w:rPr>
          <w:b w:val="0"/>
          <w:sz w:val="22"/>
          <w:szCs w:val="22"/>
          <w:shd w:val="clear" w:color="auto" w:fill="FFFFFF"/>
        </w:rPr>
      </w:pPr>
    </w:p>
    <w:bookmarkEnd w:id="2"/>
    <w:p w:rsidR="00860587" w:rsidP="00860587">
      <w:pPr>
        <w:pStyle w:val="1-1STPARA"/>
        <w:spacing w:line="24" w:lineRule="atLeast"/>
        <w:rPr>
          <w:rFonts w:eastAsia="Times New Roman"/>
          <w:b/>
          <w:bCs/>
          <w:sz w:val="24"/>
          <w:szCs w:val="24"/>
        </w:rPr>
      </w:pPr>
      <w:r w:rsidRPr="00B03FCB">
        <w:rPr>
          <w:rFonts w:eastAsia="Times New Roman"/>
          <w:b/>
          <w:bCs/>
          <w:sz w:val="24"/>
          <w:szCs w:val="24"/>
        </w:rPr>
        <w:t xml:space="preserve">Differing Scholarly Perspectives on Kashf-Based </w:t>
      </w:r>
      <w:r>
        <w:rPr>
          <w:rFonts w:eastAsia="Times New Roman"/>
          <w:b/>
          <w:bCs/>
          <w:sz w:val="24"/>
          <w:szCs w:val="24"/>
        </w:rPr>
        <w:t>Ḥadīth</w:t>
      </w:r>
      <w:r w:rsidRPr="00B03FCB">
        <w:rPr>
          <w:rFonts w:eastAsia="Times New Roman"/>
          <w:b/>
          <w:bCs/>
          <w:sz w:val="24"/>
          <w:szCs w:val="24"/>
        </w:rPr>
        <w:t xml:space="preserve"> Authentication</w:t>
      </w:r>
    </w:p>
    <w:p w:rsidR="00E6533D" w:rsidRPr="00860587" w:rsidP="00860587">
      <w:pPr>
        <w:pStyle w:val="1-1STPARA"/>
        <w:spacing w:line="24" w:lineRule="atLeast"/>
        <w:rPr>
          <w:rFonts w:eastAsia="Times New Roman"/>
          <w:b/>
          <w:bCs/>
          <w:sz w:val="24"/>
          <w:szCs w:val="24"/>
        </w:rPr>
      </w:pPr>
      <w:r w:rsidRPr="00B03FCB">
        <w:rPr>
          <w:rFonts w:eastAsia="Times New Roman"/>
        </w:rPr>
        <w:t xml:space="preserve">Scholars vary in their acceptance of </w:t>
      </w:r>
      <w:r>
        <w:rPr>
          <w:rFonts w:eastAsia="Times New Roman"/>
        </w:rPr>
        <w:t>Ḥadīth</w:t>
      </w:r>
      <w:r w:rsidRPr="00B03FCB">
        <w:rPr>
          <w:rFonts w:eastAsia="Times New Roman"/>
        </w:rPr>
        <w:t xml:space="preserve"> authenticated through kashf. Some argue that such </w:t>
      </w:r>
      <w:r>
        <w:rPr>
          <w:rFonts w:eastAsia="Times New Roman"/>
        </w:rPr>
        <w:t>Ḥadīth</w:t>
      </w:r>
      <w:r w:rsidRPr="00B03FCB">
        <w:rPr>
          <w:rFonts w:eastAsia="Times New Roman"/>
        </w:rPr>
        <w:t xml:space="preserve"> may be valid, provided they align with the </w:t>
      </w:r>
      <w:r>
        <w:rPr>
          <w:rFonts w:eastAsia="Times New Roman"/>
        </w:rPr>
        <w:t>Qurʾān</w:t>
      </w:r>
      <w:r w:rsidRPr="00B03FCB">
        <w:rPr>
          <w:rFonts w:eastAsia="Times New Roman"/>
        </w:rPr>
        <w:t xml:space="preserve"> and established Sunnah; otherwise, they lack credibility. This perspective is bolstered by a narration in Ṣaḥīḥ Ibn Ḥibbān: “If you hear a hadīth reported from me which your hearts recognize, at which your hair and skin become tender, and you feel that it is near to you: know that I am nearer to it than you. And if you hear a hadīth being reported from me of which your hearts disapprove, from which your hair and skin recoil, and you feel that it is far from you: know that I am even farther from it than you.” (Ibn Ḥibbān, 2012, p. 263) Sufis often cite this </w:t>
      </w:r>
      <w:r>
        <w:rPr>
          <w:rFonts w:eastAsia="Times New Roman"/>
        </w:rPr>
        <w:t>Ḥadīth</w:t>
      </w:r>
      <w:r w:rsidRPr="00B03FCB">
        <w:rPr>
          <w:rFonts w:eastAsia="Times New Roman"/>
        </w:rPr>
        <w:t xml:space="preserve"> to validate the kashf-based authentication method, arguing that the Prophet’s teachings resonate inherently with believers’ hearts.</w:t>
      </w:r>
    </w:p>
    <w:p w:rsidR="00E6533D" w:rsidRPr="00B03FCB" w:rsidP="00F6467A">
      <w:pPr>
        <w:pStyle w:val="1-1STPARA"/>
        <w:spacing w:line="24" w:lineRule="atLeast"/>
        <w:rPr>
          <w:rFonts w:eastAsia="Times New Roman"/>
        </w:rPr>
      </w:pPr>
      <w:r w:rsidRPr="00B03FCB">
        <w:rPr>
          <w:rFonts w:eastAsia="Times New Roman"/>
        </w:rPr>
        <w:t xml:space="preserve">Nonetheless, scholars such as al-Nawawī and al-Qāḍī ʿIyāḍ </w:t>
      </w:r>
      <w:r>
        <w:rPr>
          <w:rStyle w:val="FootnoteReference"/>
          <w:rFonts w:eastAsia="Times New Roman"/>
        </w:rPr>
        <w:footnoteReference w:id="27"/>
      </w:r>
      <w:r w:rsidRPr="00B03FCB">
        <w:rPr>
          <w:rFonts w:eastAsia="Times New Roman"/>
        </w:rPr>
        <w:t xml:space="preserve">highlight limitations in the use of dreams and visions for authenticating </w:t>
      </w:r>
      <w:r>
        <w:rPr>
          <w:rFonts w:eastAsia="Times New Roman"/>
        </w:rPr>
        <w:t>Ḥadīth</w:t>
      </w:r>
      <w:r w:rsidRPr="00B03FCB">
        <w:rPr>
          <w:rFonts w:eastAsia="Times New Roman"/>
        </w:rPr>
        <w:t xml:space="preserve">. Al-Qāḍī ʿIyāḍ stresses that while dreams may confirm or emphasize a point, they cannot establish or alter a legal ruling, as dreams lack the precision required for legal credibility. The Prophet’s statement, “Whoever sees me in a vision or dream sees me truly,” reflects the authenticity of these visions but does not grant them authority over established laws. This viewpoint is shared by other Shāfiʿī scholars, who agree that for a </w:t>
      </w:r>
      <w:r>
        <w:rPr>
          <w:rFonts w:eastAsia="Times New Roman"/>
        </w:rPr>
        <w:t>Ḥadīth</w:t>
      </w:r>
      <w:r w:rsidRPr="00B03FCB">
        <w:rPr>
          <w:rFonts w:eastAsia="Times New Roman"/>
        </w:rPr>
        <w:t xml:space="preserve"> to be accepted as part of legal rulings, the transmitter must be awake and reliable; sleep does not meet these criteria. (</w:t>
      </w:r>
      <w:r w:rsidR="00F6467A">
        <w:rPr>
          <w:rFonts w:eastAsia="Times New Roman"/>
        </w:rPr>
        <w:t>a</w:t>
      </w:r>
      <w:r w:rsidRPr="00B03FCB">
        <w:rPr>
          <w:rFonts w:eastAsia="Times New Roman"/>
        </w:rPr>
        <w:t>l-Nawawī A. Z., 2001, p. 65)</w:t>
      </w:r>
    </w:p>
    <w:p w:rsidR="00E6533D" w:rsidRPr="00B03FCB" w:rsidP="00E6533D">
      <w:pPr>
        <w:pStyle w:val="1-1STPARA"/>
        <w:spacing w:line="24" w:lineRule="atLeast"/>
        <w:rPr>
          <w:rFonts w:eastAsia="Times New Roman"/>
          <w:b/>
          <w:bCs/>
          <w:sz w:val="24"/>
          <w:szCs w:val="24"/>
        </w:rPr>
      </w:pPr>
      <w:r w:rsidRPr="00B03FCB">
        <w:rPr>
          <w:rFonts w:eastAsia="Times New Roman"/>
          <w:b/>
          <w:bCs/>
          <w:sz w:val="24"/>
          <w:szCs w:val="24"/>
        </w:rPr>
        <w:t xml:space="preserve">Supporting Views on Kashf-Based </w:t>
      </w:r>
      <w:r>
        <w:rPr>
          <w:rFonts w:eastAsia="Times New Roman"/>
          <w:b/>
          <w:bCs/>
          <w:sz w:val="24"/>
          <w:szCs w:val="24"/>
        </w:rPr>
        <w:t>Ḥadīth</w:t>
      </w:r>
      <w:r w:rsidRPr="00B03FCB">
        <w:rPr>
          <w:rFonts w:eastAsia="Times New Roman"/>
          <w:b/>
          <w:bCs/>
          <w:sz w:val="24"/>
          <w:szCs w:val="24"/>
        </w:rPr>
        <w:t xml:space="preserve"> Transmission</w:t>
      </w:r>
    </w:p>
    <w:p w:rsidR="00E6533D" w:rsidRPr="00B03FCB" w:rsidP="00F6467A">
      <w:pPr>
        <w:pStyle w:val="1-1STPARA"/>
        <w:spacing w:line="24" w:lineRule="atLeast"/>
        <w:rPr>
          <w:rFonts w:eastAsia="Times New Roman"/>
        </w:rPr>
      </w:pPr>
      <w:r w:rsidRPr="00B03FCB">
        <w:rPr>
          <w:rFonts w:eastAsia="Times New Roman"/>
        </w:rPr>
        <w:t xml:space="preserve">Mullā ʿAlī al-Qārī builds on al-Nawawī’s stance by defending the use of kashf as a supplementary validation method in </w:t>
      </w:r>
      <w:r>
        <w:rPr>
          <w:rFonts w:eastAsia="Times New Roman"/>
        </w:rPr>
        <w:t>Ḥadīth</w:t>
      </w:r>
      <w:r w:rsidRPr="00B03FCB">
        <w:rPr>
          <w:rFonts w:eastAsia="Times New Roman"/>
        </w:rPr>
        <w:t xml:space="preserve">. He cites examples of scholars, such as al-Suyūṭī, who supported dis-authentication through dreams when they aligned with previously </w:t>
      </w:r>
      <w:r w:rsidRPr="00B03FCB">
        <w:rPr>
          <w:rFonts w:eastAsia="Times New Roman"/>
        </w:rPr>
        <w:t xml:space="preserve">known weaknesses in </w:t>
      </w:r>
      <w:r>
        <w:rPr>
          <w:rFonts w:eastAsia="Times New Roman"/>
        </w:rPr>
        <w:t>Ḥadīth</w:t>
      </w:r>
      <w:r w:rsidRPr="00B03FCB">
        <w:rPr>
          <w:rFonts w:eastAsia="Times New Roman"/>
        </w:rPr>
        <w:t xml:space="preserve"> narrators. (</w:t>
      </w:r>
      <w:r w:rsidR="00F6467A">
        <w:rPr>
          <w:rFonts w:eastAsia="Times New Roman"/>
        </w:rPr>
        <w:t>a</w:t>
      </w:r>
      <w:r w:rsidRPr="00B03FCB">
        <w:rPr>
          <w:rFonts w:eastAsia="Times New Roman"/>
        </w:rPr>
        <w:t xml:space="preserve">l-Qārī, Encyplopedia of </w:t>
      </w:r>
      <w:r>
        <w:rPr>
          <w:rFonts w:eastAsia="Times New Roman"/>
        </w:rPr>
        <w:t>Ḥadīth</w:t>
      </w:r>
      <w:r w:rsidRPr="00B03FCB">
        <w:rPr>
          <w:rFonts w:eastAsia="Times New Roman"/>
        </w:rPr>
        <w:t xml:space="preserve"> Forgery, 2013, p. 427) Al-Suyūṭī’s work in Taḥdhīr al-Khawāṣṣ recounts instances in which the Prophet appeared in dreams to warn against specific narrators, reinforcing doubts that had already existed about these figures. Such dreams are seen as reinforcing pre-existing knowledge rather than establishing new rulings. (</w:t>
      </w:r>
      <w:r w:rsidR="00F6467A">
        <w:rPr>
          <w:rFonts w:eastAsia="Times New Roman"/>
        </w:rPr>
        <w:t>a</w:t>
      </w:r>
      <w:r w:rsidRPr="00B03FCB">
        <w:rPr>
          <w:rFonts w:eastAsia="Times New Roman"/>
        </w:rPr>
        <w:t>l-Suyūṭī, Taḥdhīr al-Khawāṣṣ min Akādhīb al-Quṣṣāṣ, 1984, p. 191) However, al-Nawawī and al-Qārī agree that it remains impermissible to establish new legal rulings solely based on a dream.</w:t>
      </w:r>
    </w:p>
    <w:p w:rsidR="00E6533D" w:rsidRPr="00B03FCB" w:rsidP="00F6467A">
      <w:pPr>
        <w:pStyle w:val="1-1STPARA"/>
        <w:spacing w:line="24" w:lineRule="atLeast"/>
        <w:ind w:firstLine="720"/>
        <w:rPr>
          <w:rFonts w:eastAsia="Times New Roman"/>
        </w:rPr>
      </w:pPr>
      <w:r>
        <w:rPr>
          <w:rFonts w:eastAsia="Times New Roman"/>
          <w:noProof/>
          <w:shd w:val="clear" w:color="auto" w:fill="auto"/>
          <w:lang w:val="en-US"/>
        </w:rPr>
        <w:pict>
          <v:shape id="_x0000_s1035" type="#_x0000_t202" style="width:38.1pt;height:22.75pt;margin-top:-156.85pt;margin-left:8.3pt;position:absolute;z-index:251668480" stroked="f">
            <v:textbox>
              <w:txbxContent>
                <w:p w:rsidR="004A0722" w:rsidRPr="00CD7D70" w:rsidP="00542A00">
                  <w:pPr>
                    <w:jc w:val="center"/>
                    <w:rPr>
                      <w:rFonts w:asciiTheme="majorBidi" w:hAnsiTheme="majorBidi" w:cstheme="majorBidi"/>
                      <w:color w:val="7F7F7F" w:themeColor="text1" w:themeTint="80"/>
                      <w:sz w:val="18"/>
                      <w:szCs w:val="18"/>
                      <w:lang w:val="en-US"/>
                    </w:rPr>
                  </w:pPr>
                  <w:r>
                    <w:rPr>
                      <w:rFonts w:asciiTheme="majorBidi" w:hAnsiTheme="majorBidi" w:cstheme="majorBidi"/>
                      <w:color w:val="7F7F7F" w:themeColor="text1" w:themeTint="80"/>
                      <w:sz w:val="18"/>
                      <w:szCs w:val="18"/>
                      <w:lang w:val="en-US"/>
                    </w:rPr>
                    <w:t>48</w:t>
                  </w:r>
                </w:p>
              </w:txbxContent>
            </v:textbox>
          </v:shape>
        </w:pict>
      </w:r>
      <w:r w:rsidRPr="00B03FCB" w:rsidR="00E6533D">
        <w:rPr>
          <w:rFonts w:eastAsia="Times New Roman"/>
        </w:rPr>
        <w:t>Al-Qārī also references al-Suyūṭī’s student, Abū al-Ḥasan ʿAlī ibn Muḥammad al-Minnawfī, who indicates that it is acceptable to act upon personal dreams and inspirations as long as they do not create new legal rulings that contradict Islamic jurisprudence. Instead, kashf-based insights should serve as personal guidance without altering broader jurisprudential principles. (</w:t>
      </w:r>
      <w:r w:rsidR="00F6467A">
        <w:rPr>
          <w:rFonts w:eastAsia="Times New Roman"/>
        </w:rPr>
        <w:t>a</w:t>
      </w:r>
      <w:r w:rsidRPr="00B03FCB" w:rsidR="00E6533D">
        <w:rPr>
          <w:rFonts w:eastAsia="Times New Roman"/>
        </w:rPr>
        <w:t xml:space="preserve">l-Qārī, Encyplopedia of </w:t>
      </w:r>
      <w:r w:rsidR="00E6533D">
        <w:rPr>
          <w:rFonts w:eastAsia="Times New Roman"/>
        </w:rPr>
        <w:t>Ḥadīth</w:t>
      </w:r>
      <w:r w:rsidRPr="00B03FCB" w:rsidR="00E6533D">
        <w:rPr>
          <w:rFonts w:eastAsia="Times New Roman"/>
        </w:rPr>
        <w:t xml:space="preserve"> Forgery, 2013, p. 427)</w:t>
      </w:r>
    </w:p>
    <w:p w:rsidR="00E6533D" w:rsidRPr="00B03FCB" w:rsidP="00E6533D">
      <w:pPr>
        <w:pStyle w:val="1-1STPARA"/>
        <w:spacing w:line="24" w:lineRule="atLeast"/>
        <w:rPr>
          <w:rFonts w:eastAsia="Times New Roman"/>
          <w:b/>
          <w:bCs/>
          <w:sz w:val="24"/>
          <w:szCs w:val="24"/>
        </w:rPr>
      </w:pPr>
      <w:r w:rsidRPr="00B03FCB">
        <w:rPr>
          <w:rFonts w:eastAsia="Times New Roman"/>
          <w:b/>
          <w:bCs/>
          <w:sz w:val="24"/>
          <w:szCs w:val="24"/>
        </w:rPr>
        <w:t xml:space="preserve">The Limits and Validity of Kashf in </w:t>
      </w:r>
      <w:r>
        <w:rPr>
          <w:rFonts w:eastAsia="Times New Roman"/>
          <w:b/>
          <w:bCs/>
          <w:sz w:val="24"/>
          <w:szCs w:val="24"/>
        </w:rPr>
        <w:t>Ḥadīth</w:t>
      </w:r>
      <w:r w:rsidRPr="00B03FCB">
        <w:rPr>
          <w:rFonts w:eastAsia="Times New Roman"/>
          <w:b/>
          <w:bCs/>
          <w:sz w:val="24"/>
          <w:szCs w:val="24"/>
        </w:rPr>
        <w:t xml:space="preserve"> Authentication</w:t>
      </w:r>
    </w:p>
    <w:p w:rsidR="00E6533D" w:rsidRPr="00B03FCB" w:rsidP="00E6533D">
      <w:pPr>
        <w:pStyle w:val="1-1STPARA"/>
        <w:spacing w:line="24" w:lineRule="atLeast"/>
        <w:rPr>
          <w:rFonts w:eastAsia="Times New Roman"/>
        </w:rPr>
      </w:pPr>
      <w:r w:rsidRPr="00B03FCB">
        <w:rPr>
          <w:rFonts w:eastAsia="Times New Roman"/>
        </w:rPr>
        <w:t xml:space="preserve">The kashf in </w:t>
      </w:r>
      <w:r>
        <w:rPr>
          <w:rFonts w:eastAsia="Times New Roman"/>
        </w:rPr>
        <w:t>Ḥadīth</w:t>
      </w:r>
      <w:r w:rsidRPr="00B03FCB">
        <w:rPr>
          <w:rFonts w:eastAsia="Times New Roman"/>
        </w:rPr>
        <w:t xml:space="preserve"> authentication reflects the Sufi emphasis on mystical experiences as a source of knowledge. While Sufis consider kashf-based authentication a legitimate method, they adhere to a principle of moderation, ensuring that such experiences do not contradict established </w:t>
      </w:r>
      <w:r>
        <w:rPr>
          <w:rFonts w:eastAsia="Times New Roman"/>
        </w:rPr>
        <w:t>Qurʾān</w:t>
      </w:r>
      <w:r w:rsidRPr="00B03FCB">
        <w:rPr>
          <w:rFonts w:eastAsia="Times New Roman"/>
        </w:rPr>
        <w:t xml:space="preserve">ic and Sunnah teachings. Scholars generally concur that if a kashf-based transmission aligns with the Sharia and established </w:t>
      </w:r>
      <w:r>
        <w:rPr>
          <w:rFonts w:eastAsia="Times New Roman"/>
        </w:rPr>
        <w:t>Ḥadīth</w:t>
      </w:r>
      <w:r w:rsidRPr="00B03FCB">
        <w:rPr>
          <w:rFonts w:eastAsia="Times New Roman"/>
        </w:rPr>
        <w:t xml:space="preserve"> sciences, it may be accepted; however, it cannot override established laws or create new jurisprudential precedents. In essence, Sufi methods enrich the interpretative landscape of </w:t>
      </w:r>
      <w:r>
        <w:rPr>
          <w:rFonts w:eastAsia="Times New Roman"/>
        </w:rPr>
        <w:t>Ḥadīth</w:t>
      </w:r>
      <w:r w:rsidRPr="00B03FCB">
        <w:rPr>
          <w:rFonts w:eastAsia="Times New Roman"/>
        </w:rPr>
        <w:t xml:space="preserve"> studies while respecting the boundaries set by traditional legal frameworks.</w:t>
      </w:r>
    </w:p>
    <w:p w:rsidR="00E6533D" w:rsidRPr="00B03FCB" w:rsidP="00E6533D">
      <w:pPr>
        <w:pStyle w:val="1-1STPARA"/>
        <w:spacing w:line="24" w:lineRule="atLeast"/>
        <w:rPr>
          <w:rFonts w:eastAsia="Times New Roman"/>
          <w:b/>
          <w:bCs/>
          <w:sz w:val="24"/>
          <w:szCs w:val="24"/>
        </w:rPr>
      </w:pPr>
      <w:r w:rsidRPr="00B03FCB">
        <w:rPr>
          <w:rFonts w:eastAsia="Times New Roman"/>
          <w:b/>
          <w:bCs/>
          <w:sz w:val="24"/>
          <w:szCs w:val="24"/>
        </w:rPr>
        <w:t xml:space="preserve">Sufis’ Understanding of the </w:t>
      </w:r>
      <w:r>
        <w:rPr>
          <w:rFonts w:eastAsia="Times New Roman"/>
          <w:b/>
          <w:bCs/>
          <w:sz w:val="24"/>
          <w:szCs w:val="24"/>
        </w:rPr>
        <w:t>Ḥadīth</w:t>
      </w:r>
      <w:r w:rsidRPr="00B03FCB">
        <w:rPr>
          <w:rFonts w:eastAsia="Times New Roman"/>
          <w:b/>
          <w:bCs/>
          <w:sz w:val="24"/>
          <w:szCs w:val="24"/>
        </w:rPr>
        <w:t xml:space="preserve"> of Self-Knowing</w:t>
      </w:r>
    </w:p>
    <w:p w:rsidR="00E6533D" w:rsidRPr="00B03FCB" w:rsidP="00E6533D">
      <w:pPr>
        <w:pStyle w:val="1-1STPARA"/>
        <w:spacing w:line="24" w:lineRule="atLeast"/>
        <w:rPr>
          <w:rFonts w:eastAsia="Times New Roman"/>
        </w:rPr>
      </w:pPr>
      <w:r w:rsidRPr="00B03FCB">
        <w:rPr>
          <w:rFonts w:eastAsia="Times New Roman"/>
        </w:rPr>
        <w:t xml:space="preserve">While various interpretations exist within Islamic thought, Sufi scholars uniquely focus on the mystical and metaphysical dimensions of this </w:t>
      </w:r>
      <w:r>
        <w:rPr>
          <w:rFonts w:eastAsia="Times New Roman"/>
        </w:rPr>
        <w:t>Ḥadīth</w:t>
      </w:r>
      <w:r w:rsidRPr="00B03FCB">
        <w:rPr>
          <w:rFonts w:eastAsia="Times New Roman"/>
        </w:rPr>
        <w:t xml:space="preserve">. This study examines how notable Sufi figures have comprehended and interpreted this </w:t>
      </w:r>
      <w:r>
        <w:rPr>
          <w:rFonts w:eastAsia="Times New Roman"/>
        </w:rPr>
        <w:t>Ḥadīth</w:t>
      </w:r>
      <w:r w:rsidRPr="00B03FCB">
        <w:rPr>
          <w:rFonts w:eastAsia="Times New Roman"/>
        </w:rPr>
        <w:t xml:space="preserve">, emphasizing the relationship between self-knowledge and divine knowledge. Abū Bakr al-Warrāq (d. 240/854), one of the early Sufi figures, provides a foundational interpretation of the </w:t>
      </w:r>
      <w:r>
        <w:rPr>
          <w:rFonts w:eastAsia="Times New Roman"/>
        </w:rPr>
        <w:t>Ḥadīth</w:t>
      </w:r>
      <w:r w:rsidRPr="00B03FCB">
        <w:rPr>
          <w:rFonts w:eastAsia="Times New Roman"/>
        </w:rPr>
        <w:t xml:space="preserve"> of self-knowing. When asked about its meaning, he responded that “whoever knows himself as a created being who is the provided one without any power or strength, knows his Lord as the Creator and the Provider who has </w:t>
      </w:r>
      <w:r w:rsidRPr="00B03FCB">
        <w:rPr>
          <w:rFonts w:eastAsia="Times New Roman"/>
        </w:rPr>
        <w:t>power and strength.” This perspective emphasizes human dependence and humility, framing self-knowledge as the recognition of one’s limitations. Al-Warrāq posits that by acknowledging one’s own neediness and powerlessness, one can gain a profound understanding of Allah’s attributes of power and provision, enhancing the believer’s awareness of the Creator.</w:t>
      </w:r>
    </w:p>
    <w:p w:rsidR="00E6533D" w:rsidRPr="00B03FCB" w:rsidP="00F6467A">
      <w:pPr>
        <w:pStyle w:val="1-1STPARA"/>
        <w:spacing w:line="24" w:lineRule="atLeast"/>
        <w:ind w:firstLine="720"/>
        <w:rPr>
          <w:rFonts w:eastAsia="Times New Roman"/>
        </w:rPr>
      </w:pPr>
      <w:r w:rsidRPr="00B03FCB">
        <w:rPr>
          <w:rFonts w:eastAsia="Times New Roman"/>
        </w:rPr>
        <w:t>Sahl al-Tustarī</w:t>
      </w:r>
      <w:r>
        <w:rPr>
          <w:rStyle w:val="FootnoteReference"/>
          <w:rFonts w:eastAsia="Times New Roman"/>
        </w:rPr>
        <w:footnoteReference w:id="28"/>
      </w:r>
      <w:r w:rsidRPr="00B03FCB">
        <w:rPr>
          <w:rFonts w:eastAsia="Times New Roman"/>
        </w:rPr>
        <w:t>, another key Sufi figure, offered a slightly different interpretation. He stated, “Whoever introduces himself to his Lord, his Lord introduces himself to him.” Al-Tustarī’s view suggests an interactive relationship between the seeker and Allah. (</w:t>
      </w:r>
      <w:r w:rsidR="00F6467A">
        <w:rPr>
          <w:rFonts w:eastAsia="Times New Roman"/>
        </w:rPr>
        <w:t>a</w:t>
      </w:r>
      <w:r w:rsidRPr="00B03FCB">
        <w:rPr>
          <w:rFonts w:eastAsia="Times New Roman"/>
        </w:rPr>
        <w:t xml:space="preserve">l-Wāḥidī, 1994, p. 214.) He uses an additional </w:t>
      </w:r>
      <w:r>
        <w:rPr>
          <w:rFonts w:eastAsia="Times New Roman"/>
        </w:rPr>
        <w:t>Ḥadīth</w:t>
      </w:r>
      <w:r w:rsidRPr="00B03FCB">
        <w:rPr>
          <w:rFonts w:eastAsia="Times New Roman"/>
        </w:rPr>
        <w:t xml:space="preserve"> to illustrate this dynamic: “And if he draws near to Me an arm's length, I draw near to him a cubit, and if he draws near to Me a cubit, I draw near to him a fathom. And if he comes to Me walking, I go to him at speed.”</w:t>
      </w:r>
      <w:r>
        <w:rPr>
          <w:rStyle w:val="FootnoteReference"/>
          <w:rFonts w:eastAsia="Times New Roman"/>
        </w:rPr>
        <w:footnoteReference w:id="29"/>
      </w:r>
      <w:r w:rsidRPr="00B03FCB">
        <w:rPr>
          <w:rFonts w:eastAsia="Times New Roman"/>
        </w:rPr>
        <w:t xml:space="preserve"> Al-Tustarī’s interpretation underscores the idea that when the believer initiates the pursuit of divine knowledge, Allah reciprocates by revealing Himself, ultimately establishing a relationship built on mutual closeness and understanding.</w:t>
      </w:r>
    </w:p>
    <w:p w:rsidR="00E6533D" w:rsidRPr="00B03FCB" w:rsidP="00F6467A">
      <w:pPr>
        <w:pStyle w:val="1-1STPARA"/>
        <w:spacing w:line="24" w:lineRule="atLeast"/>
        <w:ind w:firstLine="720"/>
        <w:rPr>
          <w:rFonts w:eastAsia="Times New Roman"/>
        </w:rPr>
      </w:pPr>
      <w:r w:rsidRPr="00B03FCB">
        <w:rPr>
          <w:rFonts w:eastAsia="Times New Roman"/>
        </w:rPr>
        <w:t>Abū Ṭālib al-Makkī</w:t>
      </w:r>
      <w:r>
        <w:rPr>
          <w:rStyle w:val="FootnoteReference"/>
          <w:rFonts w:eastAsia="Times New Roman"/>
        </w:rPr>
        <w:footnoteReference w:id="30"/>
      </w:r>
      <w:r w:rsidRPr="00B03FCB">
        <w:rPr>
          <w:rFonts w:eastAsia="Times New Roman"/>
        </w:rPr>
        <w:t xml:space="preserve"> renowned for his work on Sufi ethics, interprets the </w:t>
      </w:r>
      <w:r>
        <w:rPr>
          <w:rFonts w:eastAsia="Times New Roman"/>
        </w:rPr>
        <w:t>Ḥadīth</w:t>
      </w:r>
      <w:r w:rsidRPr="00B03FCB">
        <w:rPr>
          <w:rFonts w:eastAsia="Times New Roman"/>
        </w:rPr>
        <w:t xml:space="preserve"> in terms of self-awareness as a pathway to divine understanding. He explains, “The one who knows his Lord best is the one who knows himself best.” According to al-Makkī, understanding one’s own nature—such as recognizing limitations, weaknesses, and interactions with others—serves as a mirror to perceive divine attributes. For example, by realizing one’s own neediness, the seeker gains insight into Allah’s ultimate richness; by acknowledging personal incapacity, one appreciates Allah’s omnipotence. In this </w:t>
      </w:r>
      <w:r w:rsidRPr="00B03FCB">
        <w:rPr>
          <w:rFonts w:eastAsia="Times New Roman"/>
        </w:rPr>
        <w:t>framework, knowledge of the self becomes a reflective process that unveils attributes of the Creator. (</w:t>
      </w:r>
      <w:r w:rsidR="00F6467A">
        <w:rPr>
          <w:rFonts w:eastAsia="Times New Roman"/>
        </w:rPr>
        <w:t>a</w:t>
      </w:r>
      <w:r w:rsidRPr="00B03FCB">
        <w:rPr>
          <w:rFonts w:eastAsia="Times New Roman"/>
        </w:rPr>
        <w:t>l-Makkī, p. 248)</w:t>
      </w:r>
    </w:p>
    <w:p w:rsidR="00E6533D" w:rsidRPr="00B03FCB" w:rsidP="00E6533D">
      <w:pPr>
        <w:pStyle w:val="1-1STPARA"/>
        <w:spacing w:line="24" w:lineRule="atLeast"/>
        <w:rPr>
          <w:rFonts w:eastAsia="Times New Roman"/>
        </w:rPr>
      </w:pPr>
      <w:r>
        <w:rPr>
          <w:rFonts w:eastAsia="Times New Roman"/>
          <w:noProof/>
          <w:shd w:val="clear" w:color="auto" w:fill="auto"/>
          <w:lang w:val="en-US"/>
        </w:rPr>
        <w:pict>
          <v:shape id="_x0000_s1036" type="#_x0000_t202" style="width:38.1pt;height:22.75pt;margin-top:-70.85pt;margin-left:4.95pt;position:absolute;z-index:251669504" stroked="f">
            <v:textbox>
              <w:txbxContent>
                <w:p w:rsidR="004A0722" w:rsidRPr="00CD7D70" w:rsidP="00542A00">
                  <w:pPr>
                    <w:jc w:val="center"/>
                    <w:rPr>
                      <w:rFonts w:asciiTheme="majorBidi" w:hAnsiTheme="majorBidi" w:cstheme="majorBidi"/>
                      <w:color w:val="7F7F7F" w:themeColor="text1" w:themeTint="80"/>
                      <w:sz w:val="18"/>
                      <w:szCs w:val="18"/>
                      <w:lang w:val="en-US"/>
                    </w:rPr>
                  </w:pPr>
                  <w:r>
                    <w:rPr>
                      <w:rFonts w:asciiTheme="majorBidi" w:hAnsiTheme="majorBidi" w:cstheme="majorBidi"/>
                      <w:color w:val="7F7F7F" w:themeColor="text1" w:themeTint="80"/>
                      <w:sz w:val="18"/>
                      <w:szCs w:val="18"/>
                      <w:lang w:val="en-US"/>
                    </w:rPr>
                    <w:t>50</w:t>
                  </w:r>
                </w:p>
              </w:txbxContent>
            </v:textbox>
          </v:shape>
        </w:pict>
      </w:r>
      <w:r w:rsidRPr="00B03FCB" w:rsidR="00E6533D">
        <w:rPr>
          <w:rFonts w:eastAsia="Times New Roman"/>
        </w:rPr>
        <w:t>Rāghib al-Isfahānī, a noted Islamic philosopher, explores the concept of self-knowing extensively in his writings. In his book, under the chapter “In the Knowing of Human Himself,” he elaborates that self-knowledge is directly tied to understanding Allah’s existence. He offers three levels of interpretation:</w:t>
      </w:r>
    </w:p>
    <w:p w:rsidR="00E6533D" w:rsidRPr="00B03FCB" w:rsidP="00E6533D">
      <w:pPr>
        <w:pStyle w:val="1-1STPARA"/>
        <w:numPr>
          <w:ilvl w:val="0"/>
          <w:numId w:val="19"/>
        </w:numPr>
        <w:spacing w:line="24" w:lineRule="atLeast"/>
        <w:rPr>
          <w:rFonts w:eastAsia="Times New Roman"/>
        </w:rPr>
      </w:pPr>
      <w:r w:rsidRPr="00B03FCB">
        <w:rPr>
          <w:rFonts w:eastAsia="Times New Roman"/>
          <w:b/>
          <w:bCs/>
        </w:rPr>
        <w:t>Indirect Pathway to Knowledge of Allah</w:t>
      </w:r>
      <w:r w:rsidRPr="00B03FCB">
        <w:rPr>
          <w:rFonts w:eastAsia="Times New Roman"/>
        </w:rPr>
        <w:t>: Just as understanding Arabic is essential for studying jurisprudence, knowledge of the self provides an access point to understanding Allah.</w:t>
      </w:r>
    </w:p>
    <w:p w:rsidR="00E6533D" w:rsidRPr="00B03FCB" w:rsidP="00E6533D">
      <w:pPr>
        <w:pStyle w:val="1-1STPARA"/>
        <w:numPr>
          <w:ilvl w:val="0"/>
          <w:numId w:val="19"/>
        </w:numPr>
        <w:spacing w:line="24" w:lineRule="atLeast"/>
        <w:rPr>
          <w:rFonts w:eastAsia="Times New Roman"/>
        </w:rPr>
      </w:pPr>
      <w:r w:rsidRPr="00B03FCB">
        <w:rPr>
          <w:rFonts w:eastAsia="Times New Roman"/>
          <w:b/>
          <w:bCs/>
        </w:rPr>
        <w:t>Simultaneous Realization:</w:t>
      </w:r>
      <w:r w:rsidRPr="00B03FCB">
        <w:rPr>
          <w:rFonts w:eastAsia="Times New Roman"/>
        </w:rPr>
        <w:t xml:space="preserve"> Similar to how sunlight immediately follows sunrise, realizing self-knowledge instantly brings awareness of Allah’s presence.</w:t>
      </w:r>
    </w:p>
    <w:p w:rsidR="00E6533D" w:rsidRPr="00B03FCB" w:rsidP="00E6533D">
      <w:pPr>
        <w:pStyle w:val="1-1STPARA"/>
        <w:numPr>
          <w:ilvl w:val="0"/>
          <w:numId w:val="19"/>
        </w:numPr>
        <w:spacing w:line="24" w:lineRule="atLeast"/>
        <w:rPr>
          <w:rFonts w:eastAsia="Times New Roman"/>
        </w:rPr>
      </w:pPr>
      <w:r w:rsidRPr="00B03FCB">
        <w:rPr>
          <w:rFonts w:eastAsia="Times New Roman"/>
          <w:b/>
          <w:bCs/>
        </w:rPr>
        <w:t>Fundamental Pathway to Divine Knowledge:</w:t>
      </w:r>
      <w:r w:rsidRPr="00B03FCB">
        <w:rPr>
          <w:rFonts w:eastAsia="Times New Roman"/>
        </w:rPr>
        <w:t xml:space="preserve"> Knowledge of Allah is inseparable from knowledge of the self, with the created world reflecting the Creator. True understanding of self leads to the realization of Allah as fundamentally distinct from creation.</w:t>
      </w:r>
    </w:p>
    <w:p w:rsidR="00E6533D" w:rsidRPr="00B03FCB" w:rsidP="00FF0AC8">
      <w:pPr>
        <w:pStyle w:val="1-1STPARA"/>
        <w:spacing w:line="24" w:lineRule="atLeast"/>
        <w:rPr>
          <w:rFonts w:eastAsia="Times New Roman"/>
        </w:rPr>
      </w:pPr>
      <w:r w:rsidRPr="00B03FCB">
        <w:rPr>
          <w:rFonts w:eastAsia="Times New Roman"/>
        </w:rPr>
        <w:t xml:space="preserve">To emphasize this, al-Isfahānī cites the </w:t>
      </w:r>
      <w:r>
        <w:rPr>
          <w:rFonts w:eastAsia="Times New Roman"/>
        </w:rPr>
        <w:t>Qurʾān</w:t>
      </w:r>
      <w:r w:rsidRPr="00B03FCB">
        <w:rPr>
          <w:rFonts w:eastAsia="Times New Roman"/>
        </w:rPr>
        <w:t>ic verse, “We will show them Our signs in the horizons and within themselves” (</w:t>
      </w:r>
      <w:r>
        <w:rPr>
          <w:rFonts w:eastAsia="Times New Roman"/>
        </w:rPr>
        <w:t>Qurʾān</w:t>
      </w:r>
      <w:r w:rsidRPr="00B03FCB">
        <w:rPr>
          <w:rFonts w:eastAsia="Times New Roman"/>
        </w:rPr>
        <w:t xml:space="preserve"> 41:53), and relates sayings from prominent Islamic figures, such as Imam Ali, who stated, “The intellect is established to serve the duty of worship, not to comprehend the Lordship,” and Abu Bakr al-Siddiq’s proclamation, “O You, whose ultimate knowledge is the realization th</w:t>
      </w:r>
      <w:r>
        <w:rPr>
          <w:rFonts w:eastAsia="Times New Roman"/>
        </w:rPr>
        <w:t>at He cannot be fully known.” (</w:t>
      </w:r>
      <w:r w:rsidR="00FF0AC8">
        <w:rPr>
          <w:rFonts w:eastAsia="Times New Roman"/>
        </w:rPr>
        <w:t>a</w:t>
      </w:r>
      <w:r w:rsidRPr="00B03FCB">
        <w:rPr>
          <w:rFonts w:eastAsia="Times New Roman"/>
        </w:rPr>
        <w:t>l-Rāghib al-Iṣfahānī, 1983, p. 20) This perspective suggests that ignorance of Allah is intertwined with ignorance of oneself, indicating a deeply reciprocal relationship between self-knowledge and divine awareness.</w:t>
      </w:r>
    </w:p>
    <w:p w:rsidR="00E6533D" w:rsidRPr="00B03FCB" w:rsidP="00FF0AC8">
      <w:pPr>
        <w:pStyle w:val="1-1STPARA"/>
        <w:spacing w:line="24" w:lineRule="atLeast"/>
        <w:ind w:firstLine="720"/>
        <w:rPr>
          <w:rFonts w:eastAsia="Times New Roman"/>
        </w:rPr>
      </w:pPr>
      <w:r w:rsidRPr="00B03FCB">
        <w:rPr>
          <w:rFonts w:eastAsia="Times New Roman"/>
        </w:rPr>
        <w:t>Al-Juwaynī</w:t>
      </w:r>
      <w:r>
        <w:rPr>
          <w:rStyle w:val="FootnoteReference"/>
          <w:rFonts w:eastAsia="Times New Roman"/>
        </w:rPr>
        <w:footnoteReference w:id="31"/>
      </w:r>
      <w:r w:rsidRPr="00B03FCB">
        <w:rPr>
          <w:rFonts w:eastAsia="Times New Roman"/>
        </w:rPr>
        <w:t xml:space="preserve"> takes a more theological approach, emphasizing the concept of contingency. He explains that attributes such as dependency and limitation in creation cannot be ascribed to Allah, as </w:t>
      </w:r>
      <w:r w:rsidRPr="00B03FCB">
        <w:rPr>
          <w:rFonts w:eastAsia="Times New Roman"/>
        </w:rPr>
        <w:t xml:space="preserve">He exists beyond such characteristics. By knowing the contingency and limitations of human attributes, one recognizes Allah’s absolute independence and eternality. This, he suggests, is the essence of the </w:t>
      </w:r>
      <w:r>
        <w:rPr>
          <w:rFonts w:eastAsia="Times New Roman"/>
        </w:rPr>
        <w:t>Ḥadīth</w:t>
      </w:r>
      <w:r w:rsidRPr="00B03FCB">
        <w:rPr>
          <w:rFonts w:eastAsia="Times New Roman"/>
        </w:rPr>
        <w:t>, directing individuals to affirm Allah’s transcendence and to avoid anthropomorphic misconceptions. (</w:t>
      </w:r>
      <w:r w:rsidR="00FF0AC8">
        <w:rPr>
          <w:rFonts w:eastAsia="Times New Roman"/>
        </w:rPr>
        <w:t>a</w:t>
      </w:r>
      <w:r w:rsidRPr="00B03FCB">
        <w:rPr>
          <w:rFonts w:eastAsia="Times New Roman"/>
        </w:rPr>
        <w:t>l-Juwaynī, 1992, p. 131)</w:t>
      </w:r>
    </w:p>
    <w:p w:rsidR="00E6533D" w:rsidRPr="00B03FCB" w:rsidP="00FF0AC8">
      <w:pPr>
        <w:pStyle w:val="1-1STPARA"/>
        <w:spacing w:line="24" w:lineRule="atLeast"/>
        <w:rPr>
          <w:rFonts w:eastAsia="Times New Roman"/>
        </w:rPr>
      </w:pPr>
      <w:r w:rsidRPr="00B03FCB">
        <w:rPr>
          <w:rFonts w:eastAsia="Times New Roman"/>
        </w:rPr>
        <w:t xml:space="preserve">Al-Ghazālī approaches the </w:t>
      </w:r>
      <w:r>
        <w:rPr>
          <w:rFonts w:eastAsia="Times New Roman"/>
        </w:rPr>
        <w:t>Ḥadīth</w:t>
      </w:r>
      <w:r w:rsidRPr="00B03FCB">
        <w:rPr>
          <w:rFonts w:eastAsia="Times New Roman"/>
        </w:rPr>
        <w:t xml:space="preserve"> from a more introspective angle, emphasizing inner self-awareness. He urges a deep exploration of one’s motivations, desires, and inner realities, suggesting that true knowledge of Allah comes from understanding the spiritual aspects that define human actions. In The Alchemy of Happiness, he expands on this, noting that self-awareness is vital for understanding the purpose of existence and aligning oneself with divine will. (</w:t>
      </w:r>
      <w:r w:rsidR="00FF0AC8">
        <w:rPr>
          <w:rFonts w:eastAsia="Times New Roman"/>
        </w:rPr>
        <w:t>a</w:t>
      </w:r>
      <w:r w:rsidRPr="00B03FCB">
        <w:rPr>
          <w:rFonts w:eastAsia="Times New Roman"/>
        </w:rPr>
        <w:t>l-Ghazālī, Juhūd al-Imām al-Ghazālī fī ʿIlm al-Tafsīr, al-Tafīr wa al-Tarjmāt, p. 675)</w:t>
      </w:r>
    </w:p>
    <w:p w:rsidR="00E6533D" w:rsidRPr="00B03FCB" w:rsidP="00FF0AC8">
      <w:pPr>
        <w:pStyle w:val="1-1STPARA"/>
        <w:spacing w:line="24" w:lineRule="atLeast"/>
        <w:ind w:firstLine="720"/>
        <w:rPr>
          <w:rFonts w:eastAsia="Times New Roman"/>
        </w:rPr>
      </w:pPr>
      <w:r w:rsidRPr="00B03FCB">
        <w:rPr>
          <w:rFonts w:eastAsia="Times New Roman"/>
        </w:rPr>
        <w:t xml:space="preserve">ʿAbd al-Qādir al-Jīlānī, although sceptical about the </w:t>
      </w:r>
      <w:r>
        <w:rPr>
          <w:rFonts w:eastAsia="Times New Roman"/>
        </w:rPr>
        <w:t>Ḥadīth</w:t>
      </w:r>
      <w:r w:rsidRPr="00B03FCB">
        <w:rPr>
          <w:rFonts w:eastAsia="Times New Roman"/>
        </w:rPr>
        <w:t>’s prophetic authenticity, uses its wisdom to highlight the struggle against the nafs al-ammārah (the commanding self). He regards the self as a deceptive enemy that leads one away from Allah if unchecked. True self-knowledge, in Jīlānī’s view, involves recognizing the soul’s weaknesses and overcoming them to align more closely with Allah’s guidance. (</w:t>
      </w:r>
      <w:r w:rsidR="00FF0AC8">
        <w:rPr>
          <w:rFonts w:eastAsia="Times New Roman"/>
        </w:rPr>
        <w:t>a</w:t>
      </w:r>
      <w:r w:rsidRPr="00B03FCB">
        <w:rPr>
          <w:rFonts w:eastAsia="Times New Roman"/>
        </w:rPr>
        <w:t>l-Jīlānī, al-Fatḥ al-Rabbānī wa al-Fayḍ al-Raḥmānī, 2007, p. 229) (</w:t>
      </w:r>
      <w:r w:rsidR="00FF0AC8">
        <w:rPr>
          <w:rFonts w:eastAsia="Times New Roman"/>
        </w:rPr>
        <w:t>a</w:t>
      </w:r>
      <w:r w:rsidRPr="00B03FCB">
        <w:rPr>
          <w:rFonts w:eastAsia="Times New Roman"/>
        </w:rPr>
        <w:t>l-Jīlānī, al-Ghunyah li-Ṭālibī Ṭarīq al-Ḥaq, 1996, p. 596)</w:t>
      </w:r>
    </w:p>
    <w:p w:rsidR="00E6533D" w:rsidRPr="00B03FCB" w:rsidP="00FF0AC8">
      <w:pPr>
        <w:pStyle w:val="1-1STPARA"/>
        <w:spacing w:line="24" w:lineRule="atLeast"/>
        <w:ind w:firstLine="720"/>
        <w:rPr>
          <w:rFonts w:eastAsia="Times New Roman"/>
        </w:rPr>
      </w:pPr>
      <w:r w:rsidRPr="00B03FCB">
        <w:rPr>
          <w:rFonts w:eastAsia="Times New Roman"/>
        </w:rPr>
        <w:t xml:space="preserve">Fakhr al-Dīn al-Rāzī offers a reflective interpretation of the </w:t>
      </w:r>
      <w:r>
        <w:rPr>
          <w:rFonts w:eastAsia="Times New Roman"/>
        </w:rPr>
        <w:t>Ḥadīth</w:t>
      </w:r>
      <w:r w:rsidRPr="00B03FCB">
        <w:rPr>
          <w:rFonts w:eastAsia="Times New Roman"/>
        </w:rPr>
        <w:t xml:space="preserve"> within the context of human dependency on Allah. Through recognizing human incapacity, he affirms Allah’s omnipotence. This awareness nurtures a sense of humility, crucial for fostering a sincere connection with Allah, as self-awareness of limitations brings one to acknowledge the boundless power of Allah. (</w:t>
      </w:r>
      <w:r w:rsidR="00FF0AC8">
        <w:rPr>
          <w:rFonts w:eastAsia="Times New Roman"/>
        </w:rPr>
        <w:t>a</w:t>
      </w:r>
      <w:r w:rsidRPr="00B03FCB">
        <w:rPr>
          <w:rFonts w:eastAsia="Times New Roman"/>
        </w:rPr>
        <w:t>l-Rāzī, 1981, p. 91)</w:t>
      </w:r>
    </w:p>
    <w:p w:rsidR="00E6533D" w:rsidRPr="00B03FCB" w:rsidP="00E6533D">
      <w:pPr>
        <w:pStyle w:val="1-1STPARA"/>
        <w:spacing w:line="24" w:lineRule="atLeast"/>
        <w:ind w:firstLine="720"/>
        <w:rPr>
          <w:rFonts w:eastAsia="Times New Roman"/>
        </w:rPr>
      </w:pPr>
      <w:r w:rsidRPr="00B03FCB">
        <w:rPr>
          <w:rFonts w:eastAsia="Times New Roman"/>
        </w:rPr>
        <w:t>Ibn ʿArabī offers the most profound and metaphysical interpretation, where he teaches that the notion of "self" is ultimately an illusion. He suggests that true self-knowledge involves transcending the ego and recognizing that one’s very existence is a reflection of the divine. (Ibn ʿArabī A. ʿ.-Ṭ.-Ḥ., 2022, p. 26) For Ibn ʿArabī, "knowing yourself" means understanding that you are not separate from Allah, that there is no distinction between the Creator and the creation at the deepest metaphysical level. (Ibn ʿArabī A. ʿ.-Ṭ.-Ḥ., 2004, p. 37) This leads to an understanding of unity with the divine essence, where the duality between the self and Allah dissolves. (Houedard, 2019, p. 16)</w:t>
      </w:r>
    </w:p>
    <w:p w:rsidR="00E6533D" w:rsidRPr="00B03FCB" w:rsidP="00E6533D">
      <w:pPr>
        <w:pStyle w:val="1-1STPARA"/>
        <w:spacing w:line="24" w:lineRule="atLeast"/>
        <w:rPr>
          <w:rFonts w:eastAsia="Times New Roman"/>
        </w:rPr>
      </w:pPr>
      <w:r>
        <w:rPr>
          <w:rFonts w:eastAsia="Times New Roman"/>
          <w:noProof/>
          <w:shd w:val="clear" w:color="auto" w:fill="auto"/>
          <w:lang w:val="en-US"/>
        </w:rPr>
        <w:pict>
          <v:shape id="_x0000_s1037" type="#_x0000_t202" style="width:38.1pt;height:22.75pt;margin-top:-38.65pt;margin-left:13.4pt;position:absolute;z-index:251670528" stroked="f">
            <v:textbox>
              <w:txbxContent>
                <w:p w:rsidR="004A0722" w:rsidRPr="00CD7D70" w:rsidP="004706A2">
                  <w:pPr>
                    <w:jc w:val="center"/>
                    <w:rPr>
                      <w:rFonts w:asciiTheme="majorBidi" w:hAnsiTheme="majorBidi" w:cstheme="majorBidi"/>
                      <w:color w:val="7F7F7F" w:themeColor="text1" w:themeTint="80"/>
                      <w:sz w:val="18"/>
                      <w:szCs w:val="18"/>
                      <w:lang w:val="en-US"/>
                    </w:rPr>
                  </w:pPr>
                  <w:r>
                    <w:rPr>
                      <w:rFonts w:asciiTheme="majorBidi" w:hAnsiTheme="majorBidi" w:cstheme="majorBidi"/>
                      <w:color w:val="7F7F7F" w:themeColor="text1" w:themeTint="80"/>
                      <w:sz w:val="18"/>
                      <w:szCs w:val="18"/>
                      <w:lang w:val="en-US"/>
                    </w:rPr>
                    <w:t>52</w:t>
                  </w:r>
                </w:p>
              </w:txbxContent>
            </v:textbox>
          </v:shape>
        </w:pict>
      </w:r>
      <w:r w:rsidRPr="00B03FCB" w:rsidR="00E6533D">
        <w:rPr>
          <w:rFonts w:eastAsia="Times New Roman"/>
        </w:rPr>
        <w:t>Ibn ʿAṭāʾ Allāh al-Iskandarī offers two perspectives, each relevant to different stages of spiritual development:</w:t>
      </w:r>
    </w:p>
    <w:p w:rsidR="00E6533D" w:rsidRPr="00B03FCB" w:rsidP="00E6533D">
      <w:pPr>
        <w:pStyle w:val="1-1STPARA"/>
        <w:numPr>
          <w:ilvl w:val="0"/>
          <w:numId w:val="20"/>
        </w:numPr>
        <w:spacing w:line="24" w:lineRule="atLeast"/>
        <w:rPr>
          <w:rFonts w:eastAsia="Times New Roman"/>
        </w:rPr>
      </w:pPr>
      <w:r w:rsidRPr="00B03FCB">
        <w:rPr>
          <w:rFonts w:eastAsia="Times New Roman"/>
          <w:b/>
          <w:bCs/>
        </w:rPr>
        <w:t>The first interpretation</w:t>
      </w:r>
      <w:r w:rsidRPr="00B03FCB">
        <w:rPr>
          <w:rFonts w:eastAsia="Times New Roman"/>
        </w:rPr>
        <w:t xml:space="preserve"> emphasizes that knowing the self, particularly in terms of its limitations, leads to an understanding of Allah's majesty. This interpretation aligns with the path of the sālikīn (spiritual seekers), who must first come to terms with their own incapacity before comprehending the divine power and independence.</w:t>
      </w:r>
    </w:p>
    <w:p w:rsidR="00E6533D" w:rsidRPr="00B03FCB" w:rsidP="00E6533D">
      <w:pPr>
        <w:pStyle w:val="1-1STPARA"/>
        <w:numPr>
          <w:ilvl w:val="0"/>
          <w:numId w:val="20"/>
        </w:numPr>
        <w:spacing w:line="24" w:lineRule="atLeast"/>
        <w:rPr>
          <w:rFonts w:eastAsia="Times New Roman"/>
        </w:rPr>
      </w:pPr>
      <w:r w:rsidRPr="00B03FCB">
        <w:rPr>
          <w:rFonts w:eastAsia="Times New Roman"/>
          <w:b/>
          <w:bCs/>
        </w:rPr>
        <w:t>The second interpretation</w:t>
      </w:r>
      <w:r w:rsidRPr="00B03FCB">
        <w:rPr>
          <w:rFonts w:eastAsia="Times New Roman"/>
        </w:rPr>
        <w:t xml:space="preserve"> speaks to the more mystical experience of the majdhūbīn (those spiritually attracted), who, by knowing themselves, recognize their prior, innate knowledge of Allah. This suggests a deeper, almost preordained connection to the divine, where knowledge of the self serves as a sign of already existing proximity to Allah. (al-Iskandarī, 2006, p. 126)</w:t>
      </w:r>
    </w:p>
    <w:p w:rsidR="00E6533D" w:rsidRPr="00B03FCB" w:rsidP="00FF0AC8">
      <w:pPr>
        <w:pStyle w:val="1-1STPARA"/>
        <w:spacing w:line="24" w:lineRule="atLeast"/>
        <w:rPr>
          <w:rFonts w:eastAsia="Times New Roman"/>
        </w:rPr>
      </w:pPr>
      <w:r w:rsidRPr="00B03FCB">
        <w:rPr>
          <w:rFonts w:eastAsia="Times New Roman"/>
        </w:rPr>
        <w:t>The collective teachings of these scholars converge on the essential idea that self-knowledge is an indispensable means of knowing Allah. However, the emphasis varies: from the theological understanding of the divine attributes (</w:t>
      </w:r>
      <w:r w:rsidR="00FF0AC8">
        <w:rPr>
          <w:rFonts w:eastAsia="Times New Roman"/>
        </w:rPr>
        <w:t>a</w:t>
      </w:r>
      <w:r w:rsidRPr="00B03FCB">
        <w:rPr>
          <w:rFonts w:eastAsia="Times New Roman"/>
        </w:rPr>
        <w:t>l-Juwaynī), to the psychological and practical introspection of the soul (</w:t>
      </w:r>
      <w:r w:rsidR="00FF0AC8">
        <w:rPr>
          <w:rFonts w:eastAsia="Times New Roman"/>
        </w:rPr>
        <w:t>a</w:t>
      </w:r>
      <w:r w:rsidRPr="00B03FCB">
        <w:rPr>
          <w:rFonts w:eastAsia="Times New Roman"/>
        </w:rPr>
        <w:t xml:space="preserve">l-Ghazālī and </w:t>
      </w:r>
      <w:r w:rsidR="00FF0AC8">
        <w:rPr>
          <w:rFonts w:eastAsia="Times New Roman"/>
        </w:rPr>
        <w:t>a</w:t>
      </w:r>
      <w:r w:rsidRPr="00B03FCB">
        <w:rPr>
          <w:rFonts w:eastAsia="Times New Roman"/>
        </w:rPr>
        <w:t>l-Jīlānī), to the metaphysical unity with the divine (Ibn ʿArabī). Ibn ʿAṭāʾ Allāh’s dual interpretations acknowledge both the gradual path of seekers and the more immediate spiritual realizations of those drawn to the divine.</w:t>
      </w:r>
    </w:p>
    <w:p w:rsidR="00E6533D" w:rsidRPr="00B03FCB" w:rsidP="00E6533D">
      <w:pPr>
        <w:pStyle w:val="1-1STPARA"/>
        <w:spacing w:line="24" w:lineRule="atLeast"/>
        <w:rPr>
          <w:rFonts w:eastAsia="Times New Roman"/>
          <w:b/>
          <w:bCs/>
          <w:sz w:val="24"/>
          <w:szCs w:val="24"/>
        </w:rPr>
      </w:pPr>
      <w:r>
        <w:rPr>
          <w:rFonts w:eastAsia="Times New Roman"/>
          <w:b/>
          <w:bCs/>
          <w:sz w:val="24"/>
          <w:szCs w:val="24"/>
        </w:rPr>
        <w:t>Ḥadīth</w:t>
      </w:r>
      <w:r w:rsidRPr="00B03FCB">
        <w:rPr>
          <w:rFonts w:eastAsia="Times New Roman"/>
          <w:b/>
          <w:bCs/>
          <w:sz w:val="24"/>
          <w:szCs w:val="24"/>
        </w:rPr>
        <w:t xml:space="preserve"> Scholars’ Comprehension of the </w:t>
      </w:r>
      <w:r>
        <w:rPr>
          <w:rFonts w:eastAsia="Times New Roman"/>
          <w:b/>
          <w:bCs/>
          <w:sz w:val="24"/>
          <w:szCs w:val="24"/>
        </w:rPr>
        <w:t>Ḥadīth</w:t>
      </w:r>
      <w:r w:rsidR="00C85344">
        <w:rPr>
          <w:rFonts w:eastAsia="Times New Roman"/>
          <w:b/>
          <w:bCs/>
          <w:sz w:val="24"/>
          <w:szCs w:val="24"/>
        </w:rPr>
        <w:t xml:space="preserve"> of Self-K</w:t>
      </w:r>
      <w:r w:rsidRPr="00B03FCB">
        <w:rPr>
          <w:rFonts w:eastAsia="Times New Roman"/>
          <w:b/>
          <w:bCs/>
          <w:sz w:val="24"/>
          <w:szCs w:val="24"/>
        </w:rPr>
        <w:t>nowing</w:t>
      </w:r>
    </w:p>
    <w:p w:rsidR="00E6533D" w:rsidRPr="00B03FCB" w:rsidP="00FF0AC8">
      <w:pPr>
        <w:pStyle w:val="1-1STPARA"/>
        <w:spacing w:line="24" w:lineRule="atLeast"/>
        <w:rPr>
          <w:rFonts w:eastAsia="Times New Roman"/>
        </w:rPr>
      </w:pPr>
      <w:r>
        <w:rPr>
          <w:rFonts w:eastAsia="Times New Roman"/>
        </w:rPr>
        <w:t>Ḥadīth</w:t>
      </w:r>
      <w:r w:rsidRPr="00B03FCB">
        <w:rPr>
          <w:rFonts w:eastAsia="Times New Roman"/>
        </w:rPr>
        <w:t xml:space="preserve"> scholars often aim to render the mystical implications of this </w:t>
      </w:r>
      <w:r>
        <w:rPr>
          <w:rFonts w:eastAsia="Times New Roman"/>
        </w:rPr>
        <w:t>Ḥadīth</w:t>
      </w:r>
      <w:r w:rsidRPr="00B03FCB">
        <w:rPr>
          <w:rFonts w:eastAsia="Times New Roman"/>
        </w:rPr>
        <w:t xml:space="preserve"> accessible to a broader audience, integrating its concepts into practical terms. Scholars such as al-Nawawī, Ibn Ḥajar al-ʿAsqalānī, and al-Suyūṭī provide similar interpretative frameworks, focusing on self-awareness as a means to understanding divine attributes. Al-Nawawī, for instance, explains, “The meaning of this </w:t>
      </w:r>
      <w:r>
        <w:rPr>
          <w:rFonts w:eastAsia="Times New Roman"/>
        </w:rPr>
        <w:t>Ḥadīth</w:t>
      </w:r>
      <w:r w:rsidRPr="00B03FCB">
        <w:rPr>
          <w:rFonts w:eastAsia="Times New Roman"/>
        </w:rPr>
        <w:t xml:space="preserve"> is that whoever knows himself—by recognizing his own weakness, dependence upon Allah, and servitude to Him—knows his Lord through understanding Allah’s strength, Lordship, absolute perfection, and exalted attributes.” (</w:t>
      </w:r>
      <w:r w:rsidR="00FF0AC8">
        <w:rPr>
          <w:rFonts w:eastAsia="Times New Roman"/>
        </w:rPr>
        <w:t>a</w:t>
      </w:r>
      <w:r w:rsidRPr="00B03FCB">
        <w:rPr>
          <w:rFonts w:eastAsia="Times New Roman"/>
        </w:rPr>
        <w:t>l-Nawawī A. Z.-ʿ.-D., 1996, p. 248)</w:t>
      </w:r>
    </w:p>
    <w:p w:rsidR="00E6533D" w:rsidP="00FF0AC8">
      <w:pPr>
        <w:pStyle w:val="1-1STPARA"/>
        <w:spacing w:line="24" w:lineRule="atLeast"/>
        <w:ind w:firstLine="720"/>
        <w:rPr>
          <w:rFonts w:eastAsia="Times New Roman"/>
        </w:rPr>
      </w:pPr>
      <w:r w:rsidRPr="00B03FCB">
        <w:rPr>
          <w:rFonts w:eastAsia="Times New Roman"/>
        </w:rPr>
        <w:t>This perspective is echoed by Ibn Taymīyyah, (Ibn Taymīyyah, 1961, p. 34</w:t>
      </w:r>
      <w:r w:rsidR="002D226D">
        <w:rPr>
          <w:rFonts w:eastAsia="Times New Roman"/>
        </w:rPr>
        <w:t>9) Ibn Ḥajar al-ʿAsqalānī, and A</w:t>
      </w:r>
      <w:r w:rsidRPr="00B03FCB">
        <w:rPr>
          <w:rFonts w:eastAsia="Times New Roman"/>
        </w:rPr>
        <w:t xml:space="preserve">l-Suyūṭī, although it highlights the interpretative distinctions between different </w:t>
      </w:r>
      <w:r w:rsidRPr="00B03FCB">
        <w:rPr>
          <w:rFonts w:eastAsia="Times New Roman"/>
        </w:rPr>
        <w:t>schools of thought. For these scholars, self-knowledge entails recognizing one’s limitations, vulnerability, and reliance on divine support, which then guides one toward acknowledging Allah’s omnipotence, sovereignty, and boundless perfection. (</w:t>
      </w:r>
      <w:r w:rsidR="00FF0AC8">
        <w:rPr>
          <w:rFonts w:eastAsia="Times New Roman"/>
        </w:rPr>
        <w:t>a</w:t>
      </w:r>
      <w:r w:rsidRPr="00B03FCB">
        <w:rPr>
          <w:rFonts w:eastAsia="Times New Roman"/>
        </w:rPr>
        <w:t>l-Suyūṭī, Al-Hāwī li al-Fatāwī, 2000, p. 24) This contrast between human dependency and divine self-sufficiency enhances one's comprehension of Allah's supreme qualities, encouraging a deeper, more profound appreciation.</w:t>
      </w:r>
    </w:p>
    <w:p w:rsidR="00E6533D" w:rsidRPr="00B03FCB" w:rsidP="00E6533D">
      <w:pPr>
        <w:pStyle w:val="1-1STPARA"/>
        <w:spacing w:line="24" w:lineRule="atLeast"/>
        <w:ind w:firstLine="720"/>
        <w:rPr>
          <w:rFonts w:eastAsia="Times New Roman"/>
        </w:rPr>
      </w:pPr>
    </w:p>
    <w:p w:rsidR="00E6533D" w:rsidRPr="00B03FCB" w:rsidP="00E6533D">
      <w:pPr>
        <w:pStyle w:val="1-1STPARA"/>
        <w:spacing w:line="24" w:lineRule="atLeast"/>
        <w:rPr>
          <w:rFonts w:eastAsia="Times New Roman"/>
          <w:b/>
          <w:bCs/>
          <w:sz w:val="24"/>
          <w:szCs w:val="24"/>
        </w:rPr>
      </w:pPr>
      <w:r w:rsidRPr="00B03FCB">
        <w:rPr>
          <w:rFonts w:eastAsia="Times New Roman"/>
          <w:b/>
          <w:bCs/>
          <w:sz w:val="24"/>
          <w:szCs w:val="24"/>
        </w:rPr>
        <w:t>Conclusion</w:t>
      </w:r>
    </w:p>
    <w:p w:rsidR="00E6533D" w:rsidRPr="00B03FCB" w:rsidP="00E6533D">
      <w:pPr>
        <w:pStyle w:val="1-1STPARA"/>
        <w:spacing w:line="24" w:lineRule="atLeast"/>
        <w:rPr>
          <w:rFonts w:eastAsia="Times New Roman"/>
        </w:rPr>
      </w:pPr>
      <w:r w:rsidRPr="00B03FCB">
        <w:rPr>
          <w:rFonts w:eastAsia="Times New Roman"/>
        </w:rPr>
        <w:t xml:space="preserve">Numerous </w:t>
      </w:r>
      <w:r>
        <w:rPr>
          <w:rFonts w:eastAsia="Times New Roman"/>
        </w:rPr>
        <w:t>Ḥadīth</w:t>
      </w:r>
      <w:r w:rsidRPr="00B03FCB">
        <w:rPr>
          <w:rFonts w:eastAsia="Times New Roman"/>
        </w:rPr>
        <w:t xml:space="preserve"> scholars concur that the so-called </w:t>
      </w:r>
      <w:r>
        <w:rPr>
          <w:rFonts w:eastAsia="Times New Roman"/>
        </w:rPr>
        <w:t>Ḥadīth</w:t>
      </w:r>
      <w:r w:rsidRPr="00B03FCB">
        <w:rPr>
          <w:rFonts w:eastAsia="Times New Roman"/>
        </w:rPr>
        <w:t xml:space="preserve"> of self-knowing does not meet the criteria to be classified as a </w:t>
      </w:r>
      <w:r>
        <w:rPr>
          <w:rFonts w:eastAsia="Times New Roman"/>
        </w:rPr>
        <w:t>Ḥadīth</w:t>
      </w:r>
      <w:r w:rsidRPr="00B03FCB">
        <w:rPr>
          <w:rFonts w:eastAsia="Times New Roman"/>
        </w:rPr>
        <w:t xml:space="preserve">. According to them, a </w:t>
      </w:r>
      <w:r>
        <w:rPr>
          <w:rFonts w:eastAsia="Times New Roman"/>
        </w:rPr>
        <w:t>Ḥadīth</w:t>
      </w:r>
      <w:r w:rsidRPr="00B03FCB">
        <w:rPr>
          <w:rFonts w:eastAsia="Times New Roman"/>
        </w:rPr>
        <w:t xml:space="preserve"> must be supported by a verifiable chain </w:t>
      </w:r>
      <w:r w:rsidR="00AD7DB3">
        <w:rPr>
          <w:rFonts w:eastAsia="Times New Roman"/>
        </w:rPr>
        <w:t>of narration (isnād), which thi=</w:t>
      </w:r>
      <w:r w:rsidRPr="00B03FCB">
        <w:rPr>
          <w:rFonts w:eastAsia="Times New Roman"/>
        </w:rPr>
        <w:t xml:space="preserve"> narration lacks. Prominent scholars such as al-Nawawī, Ibn Ḥajar al-ʿAsqalānī, Ibn Taymīyyah, al-Suyūṭī, and Mullā ʿAlī al-Qārī categorize this narration as a fabricated report (mawḍūʿ), likely originating from a Tābiʿī and subsequently misattributed to the Prophet. Conversely, some Sufis, notably Ibn ʿArabī and al-Ghazālī, regard this narration as an authentic prophetic saying. Ibn ʿArabī asserts its authenticity through kashf (spiritual unveiling), famously stating: Lam yaṣiḥḥ min ṭarīq al-muḥaddithīn, wa-ṣaḥḥa min ṭarīq al-mashāʾikh ("It is not authenticated through the methodology of the </w:t>
      </w:r>
      <w:r>
        <w:rPr>
          <w:rFonts w:eastAsia="Times New Roman"/>
        </w:rPr>
        <w:t>Ḥadīth</w:t>
      </w:r>
      <w:r w:rsidRPr="00B03FCB">
        <w:rPr>
          <w:rFonts w:eastAsia="Times New Roman"/>
        </w:rPr>
        <w:t xml:space="preserve"> scholars, but it is authenticated through the spiritual insights of the Sufi masters"). </w:t>
      </w:r>
    </w:p>
    <w:p w:rsidR="00E6533D" w:rsidRPr="00B03FCB" w:rsidP="00E6533D">
      <w:pPr>
        <w:pStyle w:val="1-1STPARA"/>
        <w:spacing w:line="24" w:lineRule="atLeast"/>
        <w:ind w:firstLine="720"/>
        <w:rPr>
          <w:rFonts w:eastAsia="Times New Roman"/>
        </w:rPr>
      </w:pPr>
      <w:r>
        <w:rPr>
          <w:rFonts w:eastAsia="Times New Roman"/>
        </w:rPr>
        <w:t>Ḥadīth</w:t>
      </w:r>
      <w:r w:rsidRPr="00B03FCB">
        <w:rPr>
          <w:rFonts w:eastAsia="Times New Roman"/>
        </w:rPr>
        <w:t xml:space="preserve"> scholars, such as al-Nawawī, al-Suyūṭī, and Mullā ʿAlī al-Qārī, reject this approach, emphasizing adherence to the established methodologies of </w:t>
      </w:r>
      <w:r>
        <w:rPr>
          <w:rFonts w:eastAsia="Times New Roman"/>
        </w:rPr>
        <w:t>Ḥadīth</w:t>
      </w:r>
      <w:r w:rsidRPr="00B03FCB">
        <w:rPr>
          <w:rFonts w:eastAsia="Times New Roman"/>
        </w:rPr>
        <w:t xml:space="preserve"> authentication. They caution against elevating personal spiritual experiences to the level of evidence in religious discourse, asserting that such experiences are valid only insofar as they align with the </w:t>
      </w:r>
      <w:r>
        <w:rPr>
          <w:rFonts w:eastAsia="Times New Roman"/>
        </w:rPr>
        <w:t>Qurʾān</w:t>
      </w:r>
      <w:r w:rsidRPr="00B03FCB">
        <w:rPr>
          <w:rFonts w:eastAsia="Times New Roman"/>
        </w:rPr>
        <w:t xml:space="preserve"> and Sunna. Furthermore, they maintain that Sufi spiritual insights should remain a private matter, with no bearing on public practice or Shariah rulings.</w:t>
      </w:r>
    </w:p>
    <w:p w:rsidR="00E6533D" w:rsidRPr="00B03FCB" w:rsidP="00E6533D">
      <w:pPr>
        <w:pStyle w:val="1-1STPARA"/>
        <w:spacing w:line="24" w:lineRule="atLeast"/>
        <w:ind w:firstLine="720"/>
        <w:rPr>
          <w:rFonts w:eastAsia="Times New Roman"/>
        </w:rPr>
      </w:pPr>
      <w:r w:rsidRPr="00B03FCB">
        <w:rPr>
          <w:rFonts w:eastAsia="Times New Roman"/>
        </w:rPr>
        <w:t xml:space="preserve">The divergence between these two perspectives extends to their interpretation of the narration. Sufis, focusing on the concepts of fanā (annihilation of the self) and baqā (subsistence in Allah), interpret the saying in a mystical and metaphysical framework. They emphasize the transformative role of self-knowledge in cultivating an ascetic and spiritually awakened life. By contrast, </w:t>
      </w:r>
      <w:r>
        <w:rPr>
          <w:rFonts w:eastAsia="Times New Roman"/>
        </w:rPr>
        <w:t>Ḥadīth</w:t>
      </w:r>
      <w:r w:rsidRPr="00B03FCB">
        <w:rPr>
          <w:rFonts w:eastAsia="Times New Roman"/>
        </w:rPr>
        <w:t xml:space="preserve"> scholars interpret the saying in a more pragmatic and accessible manner, </w:t>
      </w:r>
      <w:r w:rsidRPr="00B03FCB">
        <w:rPr>
          <w:rFonts w:eastAsia="Times New Roman"/>
        </w:rPr>
        <w:t>grounding it in common human experiences to provide guidance for the broader community.</w:t>
      </w:r>
    </w:p>
    <w:p w:rsidR="00E6533D" w:rsidP="00E6533D">
      <w:pPr>
        <w:pStyle w:val="1-1STPARA"/>
        <w:spacing w:line="24" w:lineRule="atLeast"/>
        <w:rPr>
          <w:rFonts w:eastAsia="Times New Roman"/>
        </w:rPr>
      </w:pPr>
      <w:r>
        <w:rPr>
          <w:rFonts w:eastAsia="Times New Roman"/>
          <w:noProof/>
          <w:shd w:val="clear" w:color="auto" w:fill="auto"/>
          <w:lang w:val="en-US"/>
        </w:rPr>
        <w:pict>
          <v:shape id="_x0000_s1038" type="#_x0000_t202" style="width:38.1pt;height:22.75pt;margin-top:-70.35pt;margin-left:4.7pt;position:absolute;z-index:251671552" stroked="f">
            <v:textbox>
              <w:txbxContent>
                <w:p w:rsidR="004A0722" w:rsidRPr="00CD7D70" w:rsidP="004706A2">
                  <w:pPr>
                    <w:jc w:val="center"/>
                    <w:rPr>
                      <w:rFonts w:asciiTheme="majorBidi" w:hAnsiTheme="majorBidi" w:cstheme="majorBidi"/>
                      <w:color w:val="7F7F7F" w:themeColor="text1" w:themeTint="80"/>
                      <w:sz w:val="18"/>
                      <w:szCs w:val="18"/>
                      <w:lang w:val="en-US"/>
                    </w:rPr>
                  </w:pPr>
                  <w:r>
                    <w:rPr>
                      <w:rFonts w:asciiTheme="majorBidi" w:hAnsiTheme="majorBidi" w:cstheme="majorBidi"/>
                      <w:color w:val="7F7F7F" w:themeColor="text1" w:themeTint="80"/>
                      <w:sz w:val="18"/>
                      <w:szCs w:val="18"/>
                      <w:lang w:val="en-US"/>
                    </w:rPr>
                    <w:t>54</w:t>
                  </w:r>
                </w:p>
              </w:txbxContent>
            </v:textbox>
          </v:shape>
        </w:pict>
      </w:r>
      <w:r w:rsidRPr="00B03FCB" w:rsidR="00E6533D">
        <w:rPr>
          <w:rFonts w:eastAsia="Times New Roman"/>
        </w:rPr>
        <w:t>Despite their differences, both groups recognize the profound significance of self-knowledge in understanding one’s relationship with the Creator. While they diverge on issues of authentication and interpretation, their discourse reflects mutual acknowledgment of the spiritual value embedded in the concept, tempered by a respectful disagreement.</w:t>
      </w:r>
    </w:p>
    <w:p w:rsidR="00E6533D" w:rsidRPr="00B03FCB" w:rsidP="00E6533D">
      <w:pPr>
        <w:pStyle w:val="1-1STPARA"/>
        <w:spacing w:line="24" w:lineRule="atLeast"/>
        <w:rPr>
          <w:rFonts w:eastAsia="Times New Roman"/>
        </w:rPr>
      </w:pPr>
    </w:p>
    <w:p w:rsidR="00E6533D" w:rsidP="00E6533D">
      <w:pPr>
        <w:pStyle w:val="3-SubHead2"/>
        <w:spacing w:line="24" w:lineRule="atLeast"/>
      </w:pPr>
      <w:r>
        <w:t>References</w:t>
      </w:r>
    </w:p>
    <w:sdt>
      <w:sdtPr>
        <w:rPr>
          <w:rFonts w:asciiTheme="majorBidi" w:eastAsiaTheme="minorEastAsia" w:hAnsiTheme="majorBidi" w:cstheme="majorBidi"/>
          <w:sz w:val="24"/>
          <w:szCs w:val="24"/>
        </w:rPr>
        <w:id w:val="622730608"/>
        <w:bibliography/>
      </w:sdtPr>
      <w:sdtContent>
        <w:p w:rsidR="00E6533D" w:rsidRPr="00B03FCB" w:rsidP="002A09BA">
          <w:pPr>
            <w:pStyle w:val="Bibliography"/>
            <w:spacing w:line="24" w:lineRule="atLeast"/>
            <w:ind w:left="720" w:hanging="720"/>
            <w:rPr>
              <w:rFonts w:asciiTheme="majorBidi" w:hAnsiTheme="majorBidi" w:cstheme="majorBidi"/>
              <w:noProof/>
            </w:rPr>
          </w:pPr>
          <w:r w:rsidRPr="003B13B2">
            <w:rPr>
              <w:rFonts w:asciiTheme="majorBidi" w:hAnsiTheme="majorBidi" w:cstheme="majorBidi"/>
            </w:rPr>
            <w:fldChar w:fldCharType="begin"/>
          </w:r>
          <w:r w:rsidRPr="00B03FCB">
            <w:rPr>
              <w:rFonts w:asciiTheme="majorBidi" w:hAnsiTheme="majorBidi" w:cstheme="majorBidi"/>
            </w:rPr>
            <w:instrText xml:space="preserve"> BIBLIOGRAPHY </w:instrText>
          </w:r>
          <w:r w:rsidRPr="003B13B2">
            <w:rPr>
              <w:rFonts w:asciiTheme="majorBidi" w:hAnsiTheme="majorBidi" w:cstheme="majorBidi"/>
            </w:rPr>
            <w:fldChar w:fldCharType="separate"/>
          </w:r>
          <w:r w:rsidR="002A09BA">
            <w:rPr>
              <w:rFonts w:asciiTheme="majorBidi" w:hAnsiTheme="majorBidi" w:cstheme="majorBidi"/>
              <w:noProof/>
            </w:rPr>
            <w:t>a</w:t>
          </w:r>
          <w:r w:rsidRPr="00B03FCB">
            <w:rPr>
              <w:rFonts w:asciiTheme="majorBidi" w:hAnsiTheme="majorBidi" w:cstheme="majorBidi"/>
              <w:noProof/>
            </w:rPr>
            <w:t xml:space="preserve">l-Aḥsāʾī, I. A.-J.-S.-B. (1985). </w:t>
          </w:r>
          <w:r w:rsidRPr="00B03FCB">
            <w:rPr>
              <w:rFonts w:asciiTheme="majorBidi" w:hAnsiTheme="majorBidi" w:cstheme="majorBidi"/>
              <w:i/>
              <w:iCs/>
              <w:noProof/>
            </w:rPr>
            <w:t>ʿAwālī al-Laʾālī</w:t>
          </w:r>
          <w:r w:rsidRPr="00B03FCB">
            <w:rPr>
              <w:rFonts w:asciiTheme="majorBidi" w:hAnsiTheme="majorBidi" w:cstheme="majorBidi"/>
              <w:noProof/>
            </w:rPr>
            <w:t xml:space="preserve"> (Vol. 4). Qum: Maṭbaʿ Sayyid al-Shuhadā.</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l-ʿAjlūnī, I. b.-H.-J. (n.d.). </w:t>
          </w:r>
          <w:r w:rsidRPr="00B03FCB">
            <w:rPr>
              <w:rFonts w:asciiTheme="majorBidi" w:hAnsiTheme="majorBidi" w:cstheme="majorBidi"/>
              <w:i/>
              <w:iCs/>
              <w:noProof/>
            </w:rPr>
            <w:t>Kashf al-Khafāʾ wa-Muzīl al-Ilbās ʿammā Ishtahara min al-Aḥādīth ʿala Alsinat al-Nās</w:t>
          </w:r>
          <w:r w:rsidRPr="00B03FCB">
            <w:rPr>
              <w:rFonts w:asciiTheme="majorBidi" w:hAnsiTheme="majorBidi" w:cstheme="majorBidi"/>
              <w:noProof/>
            </w:rPr>
            <w:t xml:space="preserve"> (1 ed., Vol. 2). (Y. b.-Ḥ. Aḥmad, Ed.) Maktabat "Ilm al-Ḥadīth.</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l-ʿĀmidī, N. a.-D.-F.-W.-T. (1989). </w:t>
          </w:r>
          <w:r w:rsidRPr="00B03FCB">
            <w:rPr>
              <w:rFonts w:asciiTheme="majorBidi" w:hAnsiTheme="majorBidi" w:cstheme="majorBidi"/>
              <w:i/>
              <w:iCs/>
              <w:noProof/>
            </w:rPr>
            <w:t>Ghurar al-Ḥikam wa Durar al-Kalim.</w:t>
          </w:r>
          <w:r w:rsidRPr="00B03FCB">
            <w:rPr>
              <w:rFonts w:asciiTheme="majorBidi" w:hAnsiTheme="majorBidi" w:cstheme="majorBidi"/>
              <w:noProof/>
            </w:rPr>
            <w:t xml:space="preserve"> Bayrūt: Dār al-Qārī.</w:t>
          </w:r>
        </w:p>
        <w:p w:rsidR="00E6533D"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l-Aṣfahānī, A. N. (n.d.). </w:t>
          </w:r>
          <w:r w:rsidRPr="00B03FCB">
            <w:rPr>
              <w:rFonts w:asciiTheme="majorBidi" w:hAnsiTheme="majorBidi" w:cstheme="majorBidi"/>
              <w:i/>
              <w:iCs/>
              <w:noProof/>
            </w:rPr>
            <w:t>Ḥilyat al-Awliyāʾ wa Ṭabqāt al-Aṣfiyāʾ</w:t>
          </w:r>
          <w:r w:rsidRPr="00B03FCB">
            <w:rPr>
              <w:rFonts w:asciiTheme="majorBidi" w:hAnsiTheme="majorBidi" w:cstheme="majorBidi"/>
              <w:noProof/>
            </w:rPr>
            <w:t xml:space="preserve"> (Vol. 10). Bayrūt: Dār al-Kutub al-ʿIlmīyyah.</w:t>
          </w:r>
        </w:p>
        <w:p w:rsidR="003A3D43" w:rsidRPr="003A3D43" w:rsidP="003A3D43">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Belal Abu al-Abbas, C. M. (2020). </w:t>
          </w:r>
          <w:r w:rsidRPr="00B03FCB">
            <w:rPr>
              <w:rFonts w:asciiTheme="majorBidi" w:hAnsiTheme="majorBidi" w:cstheme="majorBidi"/>
              <w:i/>
              <w:iCs/>
              <w:noProof/>
            </w:rPr>
            <w:t xml:space="preserve">Modern </w:t>
          </w:r>
          <w:r>
            <w:rPr>
              <w:rFonts w:asciiTheme="majorBidi" w:hAnsiTheme="majorBidi" w:cstheme="majorBidi"/>
              <w:i/>
              <w:iCs/>
              <w:noProof/>
            </w:rPr>
            <w:t>Ḥadīth</w:t>
          </w:r>
          <w:r w:rsidRPr="00B03FCB">
            <w:rPr>
              <w:rFonts w:asciiTheme="majorBidi" w:hAnsiTheme="majorBidi" w:cstheme="majorBidi"/>
              <w:i/>
              <w:iCs/>
              <w:noProof/>
            </w:rPr>
            <w:t xml:space="preserve"> Studies: Continuing Debates and New Approaches.</w:t>
          </w:r>
          <w:r w:rsidRPr="00B03FCB">
            <w:rPr>
              <w:rFonts w:asciiTheme="majorBidi" w:hAnsiTheme="majorBidi" w:cstheme="majorBidi"/>
              <w:noProof/>
            </w:rPr>
            <w:t xml:space="preserve"> UK: Edinburgh University Press.</w:t>
          </w:r>
        </w:p>
        <w:p w:rsidR="00446AD2" w:rsidRPr="00B03FCB" w:rsidP="00446AD2">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Brown, D. W. (2019). </w:t>
          </w:r>
          <w:r w:rsidRPr="00B03FCB">
            <w:rPr>
              <w:rFonts w:asciiTheme="majorBidi" w:hAnsiTheme="majorBidi" w:cstheme="majorBidi"/>
              <w:i/>
              <w:iCs/>
              <w:noProof/>
            </w:rPr>
            <w:t xml:space="preserve">The Wiley Blackwell Concise Companion to the </w:t>
          </w:r>
          <w:r>
            <w:rPr>
              <w:rFonts w:asciiTheme="majorBidi" w:hAnsiTheme="majorBidi" w:cstheme="majorBidi"/>
              <w:i/>
              <w:iCs/>
              <w:noProof/>
            </w:rPr>
            <w:t>Ḥadīth</w:t>
          </w:r>
          <w:r w:rsidRPr="00B03FCB">
            <w:rPr>
              <w:rFonts w:asciiTheme="majorBidi" w:hAnsiTheme="majorBidi" w:cstheme="majorBidi"/>
              <w:i/>
              <w:iCs/>
              <w:noProof/>
            </w:rPr>
            <w:t>.</w:t>
          </w:r>
          <w:r w:rsidRPr="00B03FCB">
            <w:rPr>
              <w:rFonts w:asciiTheme="majorBidi" w:hAnsiTheme="majorBidi" w:cstheme="majorBidi"/>
              <w:noProof/>
            </w:rPr>
            <w:t xml:space="preserve"> Hoboken, USA: John Wiley &amp; Sons Ltd.</w:t>
          </w:r>
        </w:p>
        <w:p w:rsidR="00446AD2" w:rsidRPr="00B03FCB" w:rsidP="00446AD2">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Brown, J. A. (2009). </w:t>
          </w:r>
          <w:r w:rsidRPr="00B03FCB">
            <w:rPr>
              <w:rFonts w:asciiTheme="majorBidi" w:hAnsiTheme="majorBidi" w:cstheme="majorBidi"/>
              <w:i/>
              <w:iCs/>
              <w:noProof/>
            </w:rPr>
            <w:t>Did the Prophet Say It or Not.</w:t>
          </w:r>
          <w:r w:rsidRPr="00B03FCB">
            <w:rPr>
              <w:rFonts w:asciiTheme="majorBidi" w:hAnsiTheme="majorBidi" w:cstheme="majorBidi"/>
              <w:noProof/>
            </w:rPr>
            <w:t xml:space="preserve"> Washington .</w:t>
          </w:r>
        </w:p>
        <w:p w:rsidR="00446AD2" w:rsidRPr="00B03FCB" w:rsidP="00446AD2">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Brown, J. A. (2011). </w:t>
          </w:r>
          <w:r w:rsidRPr="00B03FCB">
            <w:rPr>
              <w:rFonts w:asciiTheme="majorBidi" w:hAnsiTheme="majorBidi" w:cstheme="majorBidi"/>
              <w:i/>
              <w:iCs/>
              <w:noProof/>
            </w:rPr>
            <w:t>Even If It's Not True It's True.</w:t>
          </w:r>
          <w:r w:rsidRPr="00B03FCB">
            <w:rPr>
              <w:rFonts w:asciiTheme="majorBidi" w:hAnsiTheme="majorBidi" w:cstheme="majorBidi"/>
              <w:noProof/>
            </w:rPr>
            <w:t xml:space="preserve"> J. Islamic Law and Society.</w:t>
          </w:r>
        </w:p>
        <w:p w:rsidR="00446AD2" w:rsidRPr="00B03FCB" w:rsidP="00446AD2">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Brown, J. A. (2017). </w:t>
          </w:r>
          <w:r w:rsidRPr="00B03FCB">
            <w:rPr>
              <w:rFonts w:asciiTheme="majorBidi" w:hAnsiTheme="majorBidi" w:cstheme="majorBidi"/>
              <w:i/>
              <w:iCs/>
              <w:noProof/>
            </w:rPr>
            <w:t>The Canonization of Islamic Law: A Social and Intellectual History.</w:t>
          </w:r>
          <w:r w:rsidRPr="00B03FCB">
            <w:rPr>
              <w:rFonts w:asciiTheme="majorBidi" w:hAnsiTheme="majorBidi" w:cstheme="majorBidi"/>
              <w:noProof/>
            </w:rPr>
            <w:t xml:space="preserve"> Cambridge, UK: Cambridge University Press.</w:t>
          </w:r>
        </w:p>
        <w:p w:rsidR="00554B09" w:rsidP="003A3D43">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Brown, J. A. (n.d.). </w:t>
          </w:r>
          <w:r>
            <w:rPr>
              <w:rFonts w:asciiTheme="majorBidi" w:hAnsiTheme="majorBidi" w:cstheme="majorBidi"/>
              <w:i/>
              <w:iCs/>
              <w:noProof/>
            </w:rPr>
            <w:t>Ḥadīth</w:t>
          </w:r>
          <w:r w:rsidRPr="00B03FCB">
            <w:rPr>
              <w:rFonts w:asciiTheme="majorBidi" w:hAnsiTheme="majorBidi" w:cstheme="majorBidi"/>
              <w:i/>
              <w:iCs/>
              <w:noProof/>
            </w:rPr>
            <w:t>: Muḥammad Legacy in the Medieval and Modern World (Foundations of Islam).</w:t>
          </w:r>
          <w:r w:rsidRPr="00B03FCB">
            <w:rPr>
              <w:rFonts w:asciiTheme="majorBidi" w:hAnsiTheme="majorBidi" w:cstheme="majorBidi"/>
              <w:noProof/>
            </w:rPr>
            <w:t xml:space="preserve"> One World Publications.</w:t>
          </w:r>
        </w:p>
        <w:p w:rsidR="003D36E3" w:rsidRPr="003D36E3" w:rsidP="003D36E3">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l-Baghdādī, K. A.-S. (1997). </w:t>
          </w:r>
          <w:r w:rsidRPr="00B03FCB">
            <w:rPr>
              <w:rFonts w:asciiTheme="majorBidi" w:hAnsiTheme="majorBidi" w:cstheme="majorBidi"/>
              <w:i/>
              <w:iCs/>
              <w:noProof/>
            </w:rPr>
            <w:t>al-Muttafaq wa al-Muftaraq</w:t>
          </w:r>
          <w:r w:rsidRPr="00B03FCB">
            <w:rPr>
              <w:rFonts w:asciiTheme="majorBidi" w:hAnsiTheme="majorBidi" w:cstheme="majorBidi"/>
              <w:noProof/>
            </w:rPr>
            <w:t xml:space="preserve"> (Vol. 3). Bayrūt: Dār al-Qādirī.</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l-Bukhārī, M. b. (n.d.). </w:t>
          </w:r>
          <w:r w:rsidRPr="00B03FCB">
            <w:rPr>
              <w:rFonts w:asciiTheme="majorBidi" w:hAnsiTheme="majorBidi" w:cstheme="majorBidi"/>
              <w:i/>
              <w:iCs/>
              <w:noProof/>
            </w:rPr>
            <w:t>Ṣaḥīḥ al-Bukhārī.</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l-Dhahabī, S. a.-D. (1981). </w:t>
          </w:r>
          <w:r w:rsidRPr="00B03FCB">
            <w:rPr>
              <w:rFonts w:asciiTheme="majorBidi" w:hAnsiTheme="majorBidi" w:cstheme="majorBidi"/>
              <w:i/>
              <w:iCs/>
              <w:noProof/>
            </w:rPr>
            <w:t>Siyar Aʿlām al-Nubalāʾ.</w:t>
          </w:r>
          <w:r w:rsidRPr="00B03FCB">
            <w:rPr>
              <w:rFonts w:asciiTheme="majorBidi" w:hAnsiTheme="majorBidi" w:cstheme="majorBidi"/>
              <w:noProof/>
            </w:rPr>
            <w:t xml:space="preserve"> (S. a.-A. al-Asad, Ed.) Bayrūṭ: Mu'assasah al-Risālah.</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l-Ghazālī, M. b. (1988). </w:t>
          </w:r>
          <w:r w:rsidRPr="00B03FCB">
            <w:rPr>
              <w:rFonts w:asciiTheme="majorBidi" w:hAnsiTheme="majorBidi" w:cstheme="majorBidi"/>
              <w:i/>
              <w:iCs/>
              <w:noProof/>
            </w:rPr>
            <w:t>Maʿārij al-Quds fī Madārij Maʿrifat al-Nafs (The Ascent to the Divine through the Path of Self-knowing). Khuṭbah al-Kitāb.</w:t>
          </w:r>
          <w:r w:rsidRPr="00B03FCB">
            <w:rPr>
              <w:rFonts w:asciiTheme="majorBidi" w:hAnsiTheme="majorBidi" w:cstheme="majorBidi"/>
              <w:noProof/>
            </w:rPr>
            <w:t xml:space="preserve"> Bayrūt: Dār al-Kutub al-"Ilmīyyah.</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l-Ghazālī, M. b. (2011). </w:t>
          </w:r>
          <w:r w:rsidRPr="00B03FCB">
            <w:rPr>
              <w:rFonts w:asciiTheme="majorBidi" w:hAnsiTheme="majorBidi" w:cstheme="majorBidi"/>
              <w:i/>
              <w:iCs/>
              <w:noProof/>
            </w:rPr>
            <w:t>Ihyā`u 'ulūm al-Dīn</w:t>
          </w:r>
          <w:r w:rsidRPr="00B03FCB">
            <w:rPr>
              <w:rFonts w:asciiTheme="majorBidi" w:hAnsiTheme="majorBidi" w:cstheme="majorBidi"/>
              <w:noProof/>
            </w:rPr>
            <w:t xml:space="preserve"> (1 ed.). Jeddah, Saudi Arabia: Dār al-Minhāj.</w:t>
          </w:r>
        </w:p>
        <w:p w:rsidR="00E6533D"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l-Ghazālī, M. b. (n.d.). </w:t>
          </w:r>
          <w:r w:rsidRPr="00B03FCB">
            <w:rPr>
              <w:rFonts w:asciiTheme="majorBidi" w:hAnsiTheme="majorBidi" w:cstheme="majorBidi"/>
              <w:i/>
              <w:iCs/>
              <w:noProof/>
            </w:rPr>
            <w:t>Juhūd al-Imām al-Ghazālī fī ʿIlm al-Tafsīr, al-Tafīr wa al-Tarjmāt</w:t>
          </w:r>
          <w:r w:rsidRPr="00B03FCB">
            <w:rPr>
              <w:rFonts w:asciiTheme="majorBidi" w:hAnsiTheme="majorBidi" w:cstheme="majorBidi"/>
              <w:noProof/>
            </w:rPr>
            <w:t xml:space="preserve"> (Vol. 1). Jāmiʿ al-Kutub al-Islāīyyah.</w:t>
          </w:r>
        </w:p>
        <w:p w:rsidR="00644C26" w:rsidRPr="00B03FCB" w:rsidP="00644C26">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Haddad, G. F. (2005). </w:t>
          </w:r>
          <w:r w:rsidRPr="00B03FCB">
            <w:rPr>
              <w:rFonts w:asciiTheme="majorBidi" w:hAnsiTheme="majorBidi" w:cstheme="majorBidi"/>
              <w:i/>
              <w:iCs/>
              <w:noProof/>
            </w:rPr>
            <w:t>Sunna Notes I.</w:t>
          </w:r>
          <w:r w:rsidRPr="00B03FCB">
            <w:rPr>
              <w:rFonts w:asciiTheme="majorBidi" w:hAnsiTheme="majorBidi" w:cstheme="majorBidi"/>
              <w:noProof/>
            </w:rPr>
            <w:t xml:space="preserve"> Germany: Warda Publications.</w:t>
          </w:r>
        </w:p>
        <w:p w:rsidR="00644C26" w:rsidRPr="00B03FCB" w:rsidP="00644C26">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Haddad, G. F. (2005). </w:t>
          </w:r>
          <w:r w:rsidRPr="00B03FCB">
            <w:rPr>
              <w:rFonts w:asciiTheme="majorBidi" w:hAnsiTheme="majorBidi" w:cstheme="majorBidi"/>
              <w:i/>
              <w:iCs/>
              <w:noProof/>
            </w:rPr>
            <w:t>Sunna Notes: Studies in Ḥadith and Doctrine</w:t>
          </w:r>
          <w:r w:rsidRPr="00B03FCB">
            <w:rPr>
              <w:rFonts w:asciiTheme="majorBidi" w:hAnsiTheme="majorBidi" w:cstheme="majorBidi"/>
              <w:noProof/>
            </w:rPr>
            <w:t xml:space="preserve"> (1 ed., Vol. 1). Germany: WARDA Publications.</w:t>
          </w:r>
        </w:p>
        <w:p w:rsidR="00644C26" w:rsidRPr="00B03FCB" w:rsidP="00644C26">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Holtzman, L. (2016). Ibn Taymiyya's Criticism of Shīʿī and Ṣūfīs Practices: The Case of Mystical Unveiling (Kashf). </w:t>
          </w:r>
          <w:r w:rsidRPr="00B03FCB">
            <w:rPr>
              <w:rFonts w:asciiTheme="majorBidi" w:hAnsiTheme="majorBidi" w:cstheme="majorBidi"/>
              <w:i/>
              <w:iCs/>
              <w:noProof/>
            </w:rPr>
            <w:t>Middle Eastern Studies 46</w:t>
          </w:r>
          <w:r w:rsidRPr="00B03FCB">
            <w:rPr>
              <w:rFonts w:asciiTheme="majorBidi" w:hAnsiTheme="majorBidi" w:cstheme="majorBidi"/>
              <w:noProof/>
            </w:rPr>
            <w:t>(2), 251-264.</w:t>
          </w:r>
        </w:p>
        <w:p w:rsidR="00644C26" w:rsidP="00644C26">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Houedard, D. S. (2019). </w:t>
          </w:r>
          <w:r w:rsidRPr="00B03FCB">
            <w:rPr>
              <w:rFonts w:asciiTheme="majorBidi" w:hAnsiTheme="majorBidi" w:cstheme="majorBidi"/>
              <w:i/>
              <w:iCs/>
              <w:noProof/>
            </w:rPr>
            <w:t>Notes on the More than Human Saying: “Unless you know yourself, you cannot know God”.</w:t>
          </w:r>
          <w:r w:rsidRPr="00B03FCB">
            <w:rPr>
              <w:rFonts w:asciiTheme="majorBidi" w:hAnsiTheme="majorBidi" w:cstheme="majorBidi"/>
              <w:noProof/>
            </w:rPr>
            <w:t xml:space="preserve"> Muhyiddin Ibn ‘Arabi Society.</w:t>
          </w:r>
        </w:p>
        <w:p w:rsidR="00644C26" w:rsidP="00644C26">
          <w:pPr>
            <w:rPr>
              <w:rFonts w:asciiTheme="majorBidi" w:hAnsiTheme="majorBidi" w:cstheme="majorBidi"/>
              <w:noProof/>
            </w:rPr>
          </w:pPr>
          <w:r>
            <w:rPr>
              <w:rFonts w:asciiTheme="majorBidi" w:hAnsiTheme="majorBidi" w:cstheme="majorBidi"/>
              <w:noProof/>
            </w:rPr>
            <w:t>Ibn al-'</w:t>
          </w:r>
          <w:r w:rsidRPr="00B03FCB" w:rsidR="006E5D2A">
            <w:rPr>
              <w:rFonts w:asciiTheme="majorBidi" w:hAnsiTheme="majorBidi" w:cstheme="majorBidi"/>
              <w:noProof/>
            </w:rPr>
            <w:t xml:space="preserve">Arabī, A. B. (1986). </w:t>
          </w:r>
          <w:r w:rsidRPr="00B03FCB" w:rsidR="006E5D2A">
            <w:rPr>
              <w:rFonts w:asciiTheme="majorBidi" w:hAnsiTheme="majorBidi" w:cstheme="majorBidi"/>
              <w:i/>
              <w:iCs/>
              <w:noProof/>
            </w:rPr>
            <w:t>Qānūn al-Taʾwīl, Dhikr Maʿrifat al-Nafs.</w:t>
          </w:r>
          <w:r w:rsidRPr="00B03FCB" w:rsidR="006E5D2A">
            <w:rPr>
              <w:rFonts w:asciiTheme="majorBidi" w:hAnsiTheme="majorBidi" w:cstheme="majorBidi"/>
              <w:noProof/>
            </w:rPr>
            <w:t xml:space="preserve"> </w:t>
          </w:r>
          <w:r w:rsidR="003D36E3">
            <w:rPr>
              <w:rFonts w:asciiTheme="majorBidi" w:hAnsiTheme="majorBidi" w:cstheme="majorBidi"/>
              <w:noProof/>
            </w:rPr>
            <w:t xml:space="preserve">    </w:t>
          </w:r>
          <w:r w:rsidRPr="00B03FCB" w:rsidR="006E5D2A">
            <w:rPr>
              <w:rFonts w:asciiTheme="majorBidi" w:hAnsiTheme="majorBidi" w:cstheme="majorBidi"/>
              <w:noProof/>
            </w:rPr>
            <w:t>Bayrūt: Muʾassasah ʿUlūm al-Qurʾān.</w:t>
          </w:r>
        </w:p>
        <w:p w:rsidR="0087218C" w:rsidP="0087218C">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Ibn al-Ḥajjāj, M. (2006). </w:t>
          </w:r>
          <w:r w:rsidRPr="00B03FCB">
            <w:rPr>
              <w:rFonts w:asciiTheme="majorBidi" w:hAnsiTheme="majorBidi" w:cstheme="majorBidi"/>
              <w:i/>
              <w:iCs/>
              <w:noProof/>
            </w:rPr>
            <w:t>Saḥīḥ Muslim</w:t>
          </w:r>
          <w:r w:rsidRPr="00B03FCB">
            <w:rPr>
              <w:rFonts w:asciiTheme="majorBidi" w:hAnsiTheme="majorBidi" w:cstheme="majorBidi"/>
              <w:noProof/>
            </w:rPr>
            <w:t xml:space="preserve"> (1 ed.). Cairo: Dār Ṯaybah li al-Nashr wa al-Tauzī'.</w:t>
          </w:r>
        </w:p>
        <w:p w:rsidR="0087218C" w:rsidRPr="00B03FCB" w:rsidP="0087218C">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Ibn al-Jawzī, A. a.-F.-R. (1992). </w:t>
          </w:r>
          <w:r w:rsidRPr="00B03FCB">
            <w:rPr>
              <w:rFonts w:asciiTheme="majorBidi" w:hAnsiTheme="majorBidi" w:cstheme="majorBidi"/>
              <w:i/>
              <w:iCs/>
              <w:noProof/>
            </w:rPr>
            <w:t>Talbīs Iblīs.</w:t>
          </w:r>
          <w:r w:rsidRPr="00B03FCB">
            <w:rPr>
              <w:rFonts w:asciiTheme="majorBidi" w:hAnsiTheme="majorBidi" w:cstheme="majorBidi"/>
              <w:noProof/>
            </w:rPr>
            <w:t xml:space="preserve"> Bayrūt: Dār al-Kutub al-ʿArabī.</w:t>
          </w:r>
        </w:p>
        <w:p w:rsidR="0087218C" w:rsidP="0087218C">
          <w:pPr>
            <w:rPr>
              <w:rFonts w:asciiTheme="majorBidi" w:hAnsiTheme="majorBidi" w:cstheme="majorBidi"/>
              <w:noProof/>
            </w:rPr>
          </w:pPr>
          <w:r w:rsidRPr="00B03FCB">
            <w:rPr>
              <w:rFonts w:asciiTheme="majorBidi" w:hAnsiTheme="majorBidi" w:cstheme="majorBidi"/>
              <w:noProof/>
            </w:rPr>
            <w:t xml:space="preserve">Ibn al-Ṣalāḥ, S. a.-D. (1986). </w:t>
          </w:r>
          <w:r w:rsidRPr="00B03FCB">
            <w:rPr>
              <w:rFonts w:asciiTheme="majorBidi" w:hAnsiTheme="majorBidi" w:cstheme="majorBidi"/>
              <w:i/>
              <w:iCs/>
              <w:noProof/>
            </w:rPr>
            <w:t>al-Muqaddimah fī ʿUlūm al-Ḥadīth.</w:t>
          </w:r>
          <w:r w:rsidRPr="00B03FCB">
            <w:rPr>
              <w:rFonts w:asciiTheme="majorBidi" w:hAnsiTheme="majorBidi" w:cstheme="majorBidi"/>
              <w:noProof/>
            </w:rPr>
            <w:t xml:space="preserve"> Cairo: Dār al-Fikr</w:t>
          </w:r>
        </w:p>
        <w:p w:rsidR="004B7D4E" w:rsidRPr="00B03FCB" w:rsidP="004B7D4E">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Ibn ʿArabī, A. ʿ.-Ṭ.-Ḥ. (2004). </w:t>
          </w:r>
          <w:r w:rsidRPr="00B03FCB">
            <w:rPr>
              <w:rFonts w:asciiTheme="majorBidi" w:hAnsiTheme="majorBidi" w:cstheme="majorBidi"/>
              <w:i/>
              <w:iCs/>
              <w:noProof/>
            </w:rPr>
            <w:t>Al-Risāla</w:t>
          </w:r>
          <w:r>
            <w:rPr>
              <w:rFonts w:asciiTheme="majorBidi" w:hAnsiTheme="majorBidi" w:cstheme="majorBidi"/>
              <w:i/>
              <w:iCs/>
              <w:noProof/>
            </w:rPr>
            <w:t xml:space="preserve">t al-Wujūdīyah Fī Ma’na Qawlihi </w:t>
          </w:r>
          <w:r w:rsidRPr="00B03FCB">
            <w:rPr>
              <w:rFonts w:asciiTheme="majorBidi" w:hAnsiTheme="majorBidi" w:cstheme="majorBidi"/>
              <w:i/>
              <w:iCs/>
              <w:noProof/>
            </w:rPr>
            <w:t>Man ‘Arafa Nafsahu Fa-qad ‘Arafa Rabbahu.</w:t>
          </w:r>
          <w:r w:rsidRPr="00B03FCB">
            <w:rPr>
              <w:rFonts w:asciiTheme="majorBidi" w:hAnsiTheme="majorBidi" w:cstheme="majorBidi"/>
              <w:noProof/>
            </w:rPr>
            <w:t xml:space="preserve"> Beirut.</w:t>
          </w:r>
        </w:p>
        <w:p w:rsidR="004B7D4E" w:rsidRPr="00B03FCB" w:rsidP="004B7D4E">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Ibn ʿArabī, A. ʿ.-Ṭ.-Ḥ. (2022). </w:t>
          </w:r>
          <w:r w:rsidRPr="00B03FCB">
            <w:rPr>
              <w:rFonts w:asciiTheme="majorBidi" w:hAnsiTheme="majorBidi" w:cstheme="majorBidi"/>
              <w:i/>
              <w:iCs/>
              <w:noProof/>
            </w:rPr>
            <w:t>al-Futūḥāt al-Makkīyyah</w:t>
          </w:r>
          <w:r w:rsidRPr="00B03FCB">
            <w:rPr>
              <w:rFonts w:asciiTheme="majorBidi" w:hAnsiTheme="majorBidi" w:cstheme="majorBidi"/>
              <w:noProof/>
            </w:rPr>
            <w:t xml:space="preserve"> (Vol. 1). Dār Ṣādir.</w:t>
          </w:r>
        </w:p>
        <w:p w:rsidR="006E5D2A" w:rsidP="002817E3">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Ibn Ḥibbān, M. a.-B. (2012). </w:t>
          </w:r>
          <w:r w:rsidRPr="00B03FCB">
            <w:rPr>
              <w:rFonts w:asciiTheme="majorBidi" w:hAnsiTheme="majorBidi" w:cstheme="majorBidi"/>
              <w:i/>
              <w:iCs/>
              <w:noProof/>
            </w:rPr>
            <w:t>al-Musnad al-Ṣaḥīḥ ʿalā al-Taqāsīm wa al-Anwāʿ, Dhikr Ithbāt al-Īmān li man Qaraʾa Sūrat al-Ikhlāṣ fī Rakʿatay al-Fajr</w:t>
          </w:r>
          <w:r w:rsidRPr="00B03FCB">
            <w:rPr>
              <w:rFonts w:asciiTheme="majorBidi" w:hAnsiTheme="majorBidi" w:cstheme="majorBidi"/>
              <w:noProof/>
            </w:rPr>
            <w:t xml:space="preserve"> (Vol. 6). Bayrūt: Dār Ibn Ḥazm.</w:t>
          </w:r>
        </w:p>
        <w:p w:rsidR="0087218C" w:rsidRPr="005D3686" w:rsidP="005D3686">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l-Iskandarī, A. b.-K.-J.-S. (2006). </w:t>
          </w:r>
          <w:r w:rsidRPr="00B03FCB">
            <w:rPr>
              <w:rFonts w:asciiTheme="majorBidi" w:hAnsiTheme="majorBidi" w:cstheme="majorBidi"/>
              <w:i/>
              <w:iCs/>
              <w:noProof/>
            </w:rPr>
            <w:t>Laṭāʾif al-Minan fī Manāqib al-Shaykh Abī al-ʿAbbās wa Shaykhī Abī al-Ḥasan.</w:t>
          </w:r>
          <w:r w:rsidRPr="00B03FCB">
            <w:rPr>
              <w:rFonts w:asciiTheme="majorBidi" w:hAnsiTheme="majorBidi" w:cstheme="majorBidi"/>
              <w:noProof/>
            </w:rPr>
            <w:t xml:space="preserve"> Cairo: Dār al-Maʿārif.</w:t>
          </w:r>
        </w:p>
        <w:p w:rsidR="0087218C" w:rsidRPr="0087218C" w:rsidP="0087218C">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Ibn Taymīyyah, T. a.-D.-ʿ.-Ḥ.-Ḥ. (1961). </w:t>
          </w:r>
          <w:r w:rsidRPr="00B03FCB">
            <w:rPr>
              <w:rFonts w:asciiTheme="majorBidi" w:hAnsiTheme="majorBidi" w:cstheme="majorBidi"/>
              <w:i/>
              <w:iCs/>
              <w:noProof/>
            </w:rPr>
            <w:t>Majmūʿ al-Fatāwā</w:t>
          </w:r>
          <w:r w:rsidRPr="00B03FCB">
            <w:rPr>
              <w:rFonts w:asciiTheme="majorBidi" w:hAnsiTheme="majorBidi" w:cstheme="majorBidi"/>
              <w:noProof/>
            </w:rPr>
            <w:t xml:space="preserve"> (Vol. 11). (ʿ. a.-R. Qāsim, Ed.) Riyāḍ: Maktabah al-Maʿārif.</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l-Jāḥiẓ, ʿ. b. (1964). </w:t>
          </w:r>
          <w:r w:rsidRPr="00B03FCB">
            <w:rPr>
              <w:rFonts w:asciiTheme="majorBidi" w:hAnsiTheme="majorBidi" w:cstheme="majorBidi"/>
              <w:i/>
              <w:iCs/>
              <w:noProof/>
            </w:rPr>
            <w:t>Maṭlūb Kulli Ṭālib min Kalām ʿAlī b. Abī Ṭālib.</w:t>
          </w:r>
          <w:r w:rsidRPr="00B03FCB">
            <w:rPr>
              <w:rFonts w:asciiTheme="majorBidi" w:hAnsiTheme="majorBidi" w:cstheme="majorBidi"/>
              <w:noProof/>
            </w:rPr>
            <w:t xml:space="preserve"> Qum: Bunyād Nahj al-Balāghah.</w:t>
          </w:r>
        </w:p>
        <w:p w:rsidR="00E6533D"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l-Jāḥiẓ, ʿ. b.-B.-K.-B. (1963). </w:t>
          </w:r>
          <w:r w:rsidRPr="00B03FCB">
            <w:rPr>
              <w:rFonts w:asciiTheme="majorBidi" w:hAnsiTheme="majorBidi" w:cstheme="majorBidi"/>
              <w:i/>
              <w:iCs/>
              <w:noProof/>
            </w:rPr>
            <w:t>Maṭlūb kulli ṭālib min kalām ʿAlī b. Abī Ṭālib.</w:t>
          </w:r>
          <w:r w:rsidRPr="00B03FCB">
            <w:rPr>
              <w:rFonts w:asciiTheme="majorBidi" w:hAnsiTheme="majorBidi" w:cstheme="majorBidi"/>
              <w:noProof/>
            </w:rPr>
            <w:t xml:space="preserve"> (M. J.-D.-Ḥ. al-Amawī, Ed., &amp; R. Waṭwāṭ, Trans.) Tehran: Kitāb Khāna Markazī Dānish Gāh.</w:t>
          </w:r>
        </w:p>
        <w:p w:rsidR="00C4372F" w:rsidRPr="00B865C6" w:rsidP="00B865C6">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James William Morris, W. C. (n.d.). The Sufi Path of Knowledge: Ibn ʿArabi's Metaphysics of Imagination. </w:t>
          </w:r>
          <w:r w:rsidRPr="00B03FCB">
            <w:rPr>
              <w:rFonts w:asciiTheme="majorBidi" w:hAnsiTheme="majorBidi" w:cstheme="majorBidi"/>
              <w:i/>
              <w:iCs/>
              <w:noProof/>
            </w:rPr>
            <w:t>Journal of the American Oriental Society 111</w:t>
          </w:r>
          <w:r w:rsidRPr="00B03FCB">
            <w:rPr>
              <w:rFonts w:asciiTheme="majorBidi" w:hAnsiTheme="majorBidi" w:cstheme="majorBidi"/>
              <w:noProof/>
            </w:rPr>
            <w:t>.</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l-Jawnphūrī, M. Y. (n.d.). </w:t>
          </w:r>
          <w:r w:rsidRPr="00B03FCB">
            <w:rPr>
              <w:rFonts w:asciiTheme="majorBidi" w:hAnsiTheme="majorBidi" w:cstheme="majorBidi"/>
              <w:i/>
              <w:iCs/>
              <w:noProof/>
            </w:rPr>
            <w:t>al-Yawāqīt al-Ghāliyah fī Taḥqīq wa Takhrīj al-Aḥādith al-ʿĀliyah</w:t>
          </w:r>
          <w:r w:rsidRPr="00B03FCB">
            <w:rPr>
              <w:rFonts w:asciiTheme="majorBidi" w:hAnsiTheme="majorBidi" w:cstheme="majorBidi"/>
              <w:noProof/>
            </w:rPr>
            <w:t xml:space="preserve"> (1 ed., Vol. 1). England: Majlis Daʿwat al-Ḥaq.</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l-Jawzīyyah, I. a.-Q. (1997). </w:t>
          </w:r>
          <w:r w:rsidRPr="00B03FCB">
            <w:rPr>
              <w:rFonts w:asciiTheme="majorBidi" w:hAnsiTheme="majorBidi" w:cstheme="majorBidi"/>
              <w:i/>
              <w:iCs/>
              <w:noProof/>
            </w:rPr>
            <w:t>Ighāthah al-Lahfān fī Maṣāyid al-Shayṭān.</w:t>
          </w:r>
          <w:r w:rsidRPr="00B03FCB">
            <w:rPr>
              <w:rFonts w:asciiTheme="majorBidi" w:hAnsiTheme="majorBidi" w:cstheme="majorBidi"/>
              <w:noProof/>
            </w:rPr>
            <w:t xml:space="preserve"> Cairo: Dār al-Ḥadīth.</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l-Jīlānī, ʿ. a.-Q. (1996). </w:t>
          </w:r>
          <w:r w:rsidRPr="00B03FCB">
            <w:rPr>
              <w:rFonts w:asciiTheme="majorBidi" w:hAnsiTheme="majorBidi" w:cstheme="majorBidi"/>
              <w:i/>
              <w:iCs/>
              <w:noProof/>
            </w:rPr>
            <w:t>al-Ghunyah li-Ṭālibī Ṭarīq al-Ḥaq</w:t>
          </w:r>
          <w:r w:rsidRPr="00B03FCB">
            <w:rPr>
              <w:rFonts w:asciiTheme="majorBidi" w:hAnsiTheme="majorBidi" w:cstheme="majorBidi"/>
              <w:noProof/>
            </w:rPr>
            <w:t xml:space="preserve"> (1 ed.). (M. K. ʿUmar, Ed.) Bayrūt, Lebanon: Dār Iḥyāʾ al-Turāth al-ʿArabī.</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l-Jīlānī, ʿ. a.-Q. (2007). </w:t>
          </w:r>
          <w:r w:rsidRPr="00B03FCB">
            <w:rPr>
              <w:rFonts w:asciiTheme="majorBidi" w:hAnsiTheme="majorBidi" w:cstheme="majorBidi"/>
              <w:i/>
              <w:iCs/>
              <w:noProof/>
            </w:rPr>
            <w:t>al-Fatḥ al-Rabbānī wa al-Fayḍ al-Raḥmānī</w:t>
          </w:r>
          <w:r w:rsidRPr="00B03FCB">
            <w:rPr>
              <w:rFonts w:asciiTheme="majorBidi" w:hAnsiTheme="majorBidi" w:cstheme="majorBidi"/>
              <w:noProof/>
            </w:rPr>
            <w:t xml:space="preserve"> (1 ed.). Baghdād: Manshūrāt al-Jamal.</w:t>
          </w:r>
        </w:p>
        <w:p w:rsidR="00E6533D"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l-Juwaynī, A. a.-M.-M. (1992). </w:t>
          </w:r>
          <w:r w:rsidRPr="00B03FCB">
            <w:rPr>
              <w:rFonts w:asciiTheme="majorBidi" w:hAnsiTheme="majorBidi" w:cstheme="majorBidi"/>
              <w:i/>
              <w:iCs/>
              <w:noProof/>
            </w:rPr>
            <w:t>al-ʿAqīdah al-Niẓāmīyyah fi al-Arkān al-Islāmīyyah</w:t>
          </w:r>
          <w:r w:rsidRPr="00B03FCB">
            <w:rPr>
              <w:rFonts w:asciiTheme="majorBidi" w:hAnsiTheme="majorBidi" w:cstheme="majorBidi"/>
              <w:noProof/>
            </w:rPr>
            <w:t xml:space="preserve"> (1 ed.). (M. Z. al-Kawtharī, Ed.) Egypt: Maktabah al_Azharīyyah li al-Turāth.</w:t>
          </w:r>
        </w:p>
        <w:p w:rsidR="00C4372F" w:rsidRPr="00C4372F" w:rsidP="00C4372F">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Koelberg, E. (1983). </w:t>
          </w:r>
          <w:r w:rsidRPr="00B03FCB">
            <w:rPr>
              <w:rFonts w:asciiTheme="majorBidi" w:hAnsiTheme="majorBidi" w:cstheme="majorBidi"/>
              <w:i/>
              <w:iCs/>
              <w:noProof/>
            </w:rPr>
            <w:t>Shīʿī Ḥadīth. Chp. In Arabic Literature to the End of the Umayyad Period.</w:t>
          </w:r>
          <w:r w:rsidRPr="00B03FCB">
            <w:rPr>
              <w:rFonts w:asciiTheme="majorBidi" w:hAnsiTheme="majorBidi" w:cstheme="majorBidi"/>
              <w:noProof/>
            </w:rPr>
            <w:t xml:space="preserve"> (T. M. A. F. L. Beeston, Ed.) Cambridge: Cambridge University.</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l-Makkī, A. Ṭ. (n.d.). </w:t>
          </w:r>
          <w:r w:rsidRPr="00B03FCB">
            <w:rPr>
              <w:rFonts w:asciiTheme="majorBidi" w:hAnsiTheme="majorBidi" w:cstheme="majorBidi"/>
              <w:i/>
              <w:iCs/>
              <w:noProof/>
            </w:rPr>
            <w:t>Qūt al-Qulūb fī Muʿāmalat al-Maḥbūb wa waṣf Ṭarīq al-Murīd ilā Maqām al-Tawḥīd</w:t>
          </w:r>
          <w:r w:rsidRPr="00B03FCB">
            <w:rPr>
              <w:rFonts w:asciiTheme="majorBidi" w:hAnsiTheme="majorBidi" w:cstheme="majorBidi"/>
              <w:noProof/>
            </w:rPr>
            <w:t xml:space="preserve"> (1 ed., Vol. 2). al-Maktabah al-Shāmilah.</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l-Nawawī, A. Z. (2001). </w:t>
          </w:r>
          <w:r w:rsidRPr="00B03FCB">
            <w:rPr>
              <w:rFonts w:asciiTheme="majorBidi" w:hAnsiTheme="majorBidi" w:cstheme="majorBidi"/>
              <w:i/>
              <w:iCs/>
              <w:noProof/>
            </w:rPr>
            <w:t>al-Minhāj fī Sharḥ Ṣaḥīḥ Muslim b. al-Ḥajjāj</w:t>
          </w:r>
          <w:r w:rsidRPr="00B03FCB">
            <w:rPr>
              <w:rFonts w:asciiTheme="majorBidi" w:hAnsiTheme="majorBidi" w:cstheme="majorBidi"/>
              <w:noProof/>
            </w:rPr>
            <w:t xml:space="preserve"> (1 ed., Vol. 1). Bayt al-Afkār al-Duwalīyya li-l-Nashr wa al-Tawzīʿ.</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l-Nawawī, A. Z.-ʿ.-D. (1996). </w:t>
          </w:r>
          <w:r w:rsidRPr="00B03FCB">
            <w:rPr>
              <w:rFonts w:asciiTheme="majorBidi" w:hAnsiTheme="majorBidi" w:cstheme="majorBidi"/>
              <w:i/>
              <w:iCs/>
              <w:noProof/>
            </w:rPr>
            <w:t>Fatāwa al-Imām al-Nawawī al-</w:t>
          </w:r>
          <w:r w:rsidR="00F21A0F">
            <w:rPr>
              <w:rFonts w:asciiTheme="majorBidi" w:hAnsiTheme="majorBidi" w:cstheme="majorBidi"/>
              <w:i/>
              <w:iCs/>
              <w:noProof/>
            </w:rPr>
            <w:t>Prophet Musa</w:t>
          </w:r>
          <w:r w:rsidRPr="00B03FCB">
            <w:rPr>
              <w:rFonts w:asciiTheme="majorBidi" w:hAnsiTheme="majorBidi" w:cstheme="majorBidi"/>
              <w:i/>
              <w:iCs/>
              <w:noProof/>
            </w:rPr>
            <w:t>mmā bi al-Masāʾil al-Manthūrah.</w:t>
          </w:r>
          <w:r w:rsidRPr="00B03FCB">
            <w:rPr>
              <w:rFonts w:asciiTheme="majorBidi" w:hAnsiTheme="majorBidi" w:cstheme="majorBidi"/>
              <w:noProof/>
            </w:rPr>
            <w:t xml:space="preserve"> (M. al-Ḥajjāt, Ed.) Bayrūt, Lebanon: Dār al-Bashāʾir al-Islāmīyyah.</w:t>
          </w:r>
        </w:p>
        <w:p w:rsidR="00E6533D" w:rsidRPr="00B03FCB" w:rsidP="002A09BA">
          <w:pPr>
            <w:pStyle w:val="Bibliography"/>
            <w:spacing w:line="24" w:lineRule="atLeast"/>
            <w:ind w:left="720" w:hanging="720"/>
            <w:rPr>
              <w:rFonts w:asciiTheme="majorBidi" w:hAnsiTheme="majorBidi" w:cstheme="majorBidi"/>
              <w:noProof/>
            </w:rPr>
          </w:pPr>
          <w:r>
            <w:rPr>
              <w:rFonts w:asciiTheme="majorBidi" w:hAnsiTheme="majorBidi" w:cstheme="majorBidi"/>
              <w:noProof/>
              <w:lang w:val="en-US"/>
            </w:rPr>
            <w:pict>
              <v:shape id="_x0000_s1039" type="#_x0000_t202" style="width:38.1pt;height:22.75pt;margin-top:26.35pt;margin-left:-55.65pt;position:absolute;z-index:251672576" stroked="f">
                <v:textbox>
                  <w:txbxContent>
                    <w:p w:rsidR="004A0722" w:rsidRPr="00CD7D70" w:rsidP="004706A2">
                      <w:pPr>
                        <w:jc w:val="center"/>
                        <w:rPr>
                          <w:rFonts w:asciiTheme="majorBidi" w:hAnsiTheme="majorBidi" w:cstheme="majorBidi"/>
                          <w:color w:val="7F7F7F" w:themeColor="text1" w:themeTint="80"/>
                          <w:sz w:val="18"/>
                          <w:szCs w:val="18"/>
                          <w:lang w:val="en-US"/>
                        </w:rPr>
                      </w:pPr>
                    </w:p>
                  </w:txbxContent>
                </v:textbox>
              </v:shape>
            </w:pict>
          </w:r>
          <w:r w:rsidR="002A09BA">
            <w:rPr>
              <w:rFonts w:asciiTheme="majorBidi" w:hAnsiTheme="majorBidi" w:cstheme="majorBidi"/>
              <w:noProof/>
            </w:rPr>
            <w:t>a</w:t>
          </w:r>
          <w:r w:rsidRPr="00B03FCB" w:rsidR="00E6533D">
            <w:rPr>
              <w:rFonts w:asciiTheme="majorBidi" w:hAnsiTheme="majorBidi" w:cstheme="majorBidi"/>
              <w:noProof/>
            </w:rPr>
            <w:t xml:space="preserve">l-Qārī, N. a.-D.-Ḥ.-M.-H.-M. (1986). </w:t>
          </w:r>
          <w:r w:rsidRPr="00B03FCB" w:rsidR="00E6533D">
            <w:rPr>
              <w:rFonts w:asciiTheme="majorBidi" w:hAnsiTheme="majorBidi" w:cstheme="majorBidi"/>
              <w:i/>
              <w:iCs/>
              <w:noProof/>
            </w:rPr>
            <w:t>al-Asrār al-Marfūʿah fi al-Akhbār al-Mawḍūʿāh (al-Mawḍūʿāt al-Kubrā)</w:t>
          </w:r>
          <w:r w:rsidRPr="00B03FCB" w:rsidR="00E6533D">
            <w:rPr>
              <w:rFonts w:asciiTheme="majorBidi" w:hAnsiTheme="majorBidi" w:cstheme="majorBidi"/>
              <w:noProof/>
            </w:rPr>
            <w:t xml:space="preserve"> (2 ed.). (M. b. al-Ṣabbāgh, Ed.) Dimashq: Maktabah al-Islāmī.</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l-Qārī, N. a.-D.-Ḥ.-M.-H.-M. (2013). </w:t>
          </w:r>
          <w:r w:rsidRPr="00B03FCB">
            <w:rPr>
              <w:rFonts w:asciiTheme="majorBidi" w:hAnsiTheme="majorBidi" w:cstheme="majorBidi"/>
              <w:i/>
              <w:iCs/>
              <w:noProof/>
            </w:rPr>
            <w:t xml:space="preserve">Encyplopedia of </w:t>
          </w:r>
          <w:r>
            <w:rPr>
              <w:rFonts w:asciiTheme="majorBidi" w:hAnsiTheme="majorBidi" w:cstheme="majorBidi"/>
              <w:i/>
              <w:iCs/>
              <w:noProof/>
            </w:rPr>
            <w:t>Ḥadīth</w:t>
          </w:r>
          <w:r w:rsidRPr="00B03FCB">
            <w:rPr>
              <w:rFonts w:asciiTheme="majorBidi" w:hAnsiTheme="majorBidi" w:cstheme="majorBidi"/>
              <w:i/>
              <w:iCs/>
              <w:noProof/>
            </w:rPr>
            <w:t xml:space="preserve"> Forgery</w:t>
          </w:r>
          <w:r w:rsidRPr="00B03FCB">
            <w:rPr>
              <w:rFonts w:asciiTheme="majorBidi" w:hAnsiTheme="majorBidi" w:cstheme="majorBidi"/>
              <w:noProof/>
            </w:rPr>
            <w:t xml:space="preserve"> (1 ed.). (G. F. Haddad, Ed.) UK: Beacon Books.</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l-Rāghib al-Iṣfahānī, A. a.-Q.-Ḥ. (1983). </w:t>
          </w:r>
          <w:r w:rsidRPr="00B03FCB">
            <w:rPr>
              <w:rFonts w:asciiTheme="majorBidi" w:hAnsiTheme="majorBidi" w:cstheme="majorBidi"/>
              <w:i/>
              <w:iCs/>
              <w:noProof/>
            </w:rPr>
            <w:t>Tafṣīl al-Nashʾatayn wa Taḥṣīl al-Saʿādatayn.</w:t>
          </w:r>
          <w:r w:rsidRPr="00B03FCB">
            <w:rPr>
              <w:rFonts w:asciiTheme="majorBidi" w:hAnsiTheme="majorBidi" w:cstheme="majorBidi"/>
              <w:noProof/>
            </w:rPr>
            <w:t xml:space="preserve"> Bayrūt: Manshūrāt Dār Maktabah al-Ḥayāt.</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l-Rāzī, F. a.-D. (1981). </w:t>
          </w:r>
          <w:r w:rsidRPr="00B03FCB">
            <w:rPr>
              <w:rFonts w:asciiTheme="majorBidi" w:hAnsiTheme="majorBidi" w:cstheme="majorBidi"/>
              <w:i/>
              <w:iCs/>
              <w:noProof/>
            </w:rPr>
            <w:t>Mafātīḥ al-Ghayb (The Keys to the Unseen)</w:t>
          </w:r>
          <w:r w:rsidRPr="00B03FCB">
            <w:rPr>
              <w:rFonts w:asciiTheme="majorBidi" w:hAnsiTheme="majorBidi" w:cstheme="majorBidi"/>
              <w:noProof/>
            </w:rPr>
            <w:t xml:space="preserve"> (Vol. 1). Bayrūt: Dār al-Fikr.</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l-Ṣādiq, J. (1980). </w:t>
          </w:r>
          <w:r w:rsidRPr="00B03FCB">
            <w:rPr>
              <w:rFonts w:asciiTheme="majorBidi" w:hAnsiTheme="majorBidi" w:cstheme="majorBidi"/>
              <w:i/>
              <w:iCs/>
              <w:noProof/>
            </w:rPr>
            <w:t>Miṣbāḥ al-Sharīʿah.</w:t>
          </w:r>
          <w:r w:rsidRPr="00B03FCB">
            <w:rPr>
              <w:rFonts w:asciiTheme="majorBidi" w:hAnsiTheme="majorBidi" w:cstheme="majorBidi"/>
              <w:noProof/>
            </w:rPr>
            <w:t xml:space="preserve"> Bayrūt: Muʾassasah al-Aʿlamī li al-Maṭbūʿāṭ.</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l-Saghānī, R. a.-D.-Ḥ.-Ḥ.-L. (1980). </w:t>
          </w:r>
          <w:r w:rsidRPr="00B03FCB">
            <w:rPr>
              <w:rFonts w:asciiTheme="majorBidi" w:hAnsiTheme="majorBidi" w:cstheme="majorBidi"/>
              <w:i/>
              <w:iCs/>
              <w:noProof/>
            </w:rPr>
            <w:t>al-Mawḍū'āt (Mawḍū'āt al-Ṣaghānī).</w:t>
          </w:r>
          <w:r w:rsidRPr="00B03FCB">
            <w:rPr>
              <w:rFonts w:asciiTheme="majorBidi" w:hAnsiTheme="majorBidi" w:cstheme="majorBidi"/>
              <w:noProof/>
            </w:rPr>
            <w:t xml:space="preserve"> Cairo, Egypt: Dār Nāfi' li al-Ṯabā'ah wa al-Nashr.</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l-Sakhāwī, M. b.-R. (1985). </w:t>
          </w:r>
          <w:r w:rsidRPr="00B03FCB">
            <w:rPr>
              <w:rFonts w:asciiTheme="majorBidi" w:hAnsiTheme="majorBidi" w:cstheme="majorBidi"/>
              <w:i/>
              <w:iCs/>
              <w:noProof/>
            </w:rPr>
            <w:t>al-Maqāṣid al-Ḥasanah.</w:t>
          </w:r>
        </w:p>
        <w:p w:rsidR="00E6533D" w:rsidRPr="00B03FCB" w:rsidP="002A09BA">
          <w:pPr>
            <w:pStyle w:val="Bibliography"/>
            <w:spacing w:line="24" w:lineRule="atLeast"/>
            <w:ind w:left="720" w:hanging="720"/>
            <w:rPr>
              <w:rFonts w:asciiTheme="majorBidi" w:hAnsiTheme="majorBidi" w:cstheme="majorBidi"/>
              <w:noProof/>
            </w:rPr>
          </w:pPr>
          <w:r>
            <w:rPr>
              <w:rFonts w:asciiTheme="majorBidi" w:hAnsiTheme="majorBidi" w:cstheme="majorBidi"/>
              <w:noProof/>
              <w:lang w:val="en-US"/>
            </w:rPr>
            <w:pict>
              <v:shape id="_x0000_s1040" type="#_x0000_t202" style="width:38.1pt;height:22.75pt;margin-top:-40.05pt;margin-left:4.25pt;position:absolute;z-index:251673600" stroked="f">
                <v:textbox>
                  <w:txbxContent>
                    <w:p w:rsidR="004A0722" w:rsidRPr="00CD7D70" w:rsidP="004706A2">
                      <w:pPr>
                        <w:jc w:val="center"/>
                        <w:rPr>
                          <w:rFonts w:asciiTheme="majorBidi" w:hAnsiTheme="majorBidi" w:cstheme="majorBidi"/>
                          <w:color w:val="7F7F7F" w:themeColor="text1" w:themeTint="80"/>
                          <w:sz w:val="18"/>
                          <w:szCs w:val="18"/>
                          <w:lang w:val="en-US"/>
                        </w:rPr>
                      </w:pPr>
                      <w:r>
                        <w:rPr>
                          <w:rFonts w:asciiTheme="majorBidi" w:hAnsiTheme="majorBidi" w:cstheme="majorBidi"/>
                          <w:color w:val="7F7F7F" w:themeColor="text1" w:themeTint="80"/>
                          <w:sz w:val="18"/>
                          <w:szCs w:val="18"/>
                          <w:lang w:val="en-US"/>
                        </w:rPr>
                        <w:t>58</w:t>
                      </w:r>
                    </w:p>
                  </w:txbxContent>
                </v:textbox>
              </v:shape>
            </w:pict>
          </w:r>
          <w:r w:rsidR="002A09BA">
            <w:rPr>
              <w:rFonts w:asciiTheme="majorBidi" w:hAnsiTheme="majorBidi" w:cstheme="majorBidi"/>
              <w:noProof/>
            </w:rPr>
            <w:t>a</w:t>
          </w:r>
          <w:r w:rsidRPr="00B03FCB" w:rsidR="00E6533D">
            <w:rPr>
              <w:rFonts w:asciiTheme="majorBidi" w:hAnsiTheme="majorBidi" w:cstheme="majorBidi"/>
              <w:noProof/>
            </w:rPr>
            <w:t xml:space="preserve">l-Samʿānī, A. a.-M.-Ḥ.-S. (1997). </w:t>
          </w:r>
          <w:r w:rsidRPr="00B03FCB" w:rsidR="00E6533D">
            <w:rPr>
              <w:rFonts w:asciiTheme="majorBidi" w:hAnsiTheme="majorBidi" w:cstheme="majorBidi"/>
              <w:i/>
              <w:iCs/>
              <w:noProof/>
            </w:rPr>
            <w:t>Qawāṭiʿ al-Adillah fī al- al-Uṣūl</w:t>
          </w:r>
          <w:r w:rsidRPr="00B03FCB" w:rsidR="00E6533D">
            <w:rPr>
              <w:rFonts w:asciiTheme="majorBidi" w:hAnsiTheme="majorBidi" w:cstheme="majorBidi"/>
              <w:noProof/>
            </w:rPr>
            <w:t xml:space="preserve"> (Vol. 2). Bayrūt: Dār al-Kutub al-ʿIlmīyyah.</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l-Suyūṭī, J. a.-D. (1984). </w:t>
          </w:r>
          <w:r w:rsidRPr="00B03FCB">
            <w:rPr>
              <w:rFonts w:asciiTheme="majorBidi" w:hAnsiTheme="majorBidi" w:cstheme="majorBidi"/>
              <w:i/>
              <w:iCs/>
              <w:noProof/>
            </w:rPr>
            <w:t>Taḥdhīr al-Khawāṣṣ min Akādhīb al-Quṣṣāṣ</w:t>
          </w:r>
          <w:r w:rsidRPr="00B03FCB">
            <w:rPr>
              <w:rFonts w:asciiTheme="majorBidi" w:hAnsiTheme="majorBidi" w:cstheme="majorBidi"/>
              <w:noProof/>
            </w:rPr>
            <w:t xml:space="preserve"> (2 ed.). Bayrūt: Maktab al-Islāmī.</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l-Suyūṭī, J. a.-D. (2000). </w:t>
          </w:r>
          <w:r w:rsidRPr="00B03FCB">
            <w:rPr>
              <w:rFonts w:asciiTheme="majorBidi" w:hAnsiTheme="majorBidi" w:cstheme="majorBidi"/>
              <w:i/>
              <w:iCs/>
              <w:noProof/>
            </w:rPr>
            <w:t>Al-Hāwī li al-Fatāwī</w:t>
          </w:r>
          <w:r w:rsidRPr="00B03FCB">
            <w:rPr>
              <w:rFonts w:asciiTheme="majorBidi" w:hAnsiTheme="majorBidi" w:cstheme="majorBidi"/>
              <w:noProof/>
            </w:rPr>
            <w:t xml:space="preserve"> (Vol. 2). Beirut, Lebanon: Dār al-kutub al-'ilmiyyah.</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l-Suyūṭī, J. a.-D. (2006). </w:t>
          </w:r>
          <w:r w:rsidRPr="00B03FCB">
            <w:rPr>
              <w:rFonts w:asciiTheme="majorBidi" w:hAnsiTheme="majorBidi" w:cstheme="majorBidi"/>
              <w:i/>
              <w:iCs/>
              <w:noProof/>
            </w:rPr>
            <w:t>Al-Qawl al-Ashbah.</w:t>
          </w:r>
          <w:r w:rsidRPr="00B03FCB">
            <w:rPr>
              <w:rFonts w:asciiTheme="majorBidi" w:hAnsiTheme="majorBidi" w:cstheme="majorBidi"/>
              <w:noProof/>
            </w:rPr>
            <w:t xml:space="preserve"> Maktabah Noor.</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l-Wāḥidī, ʿ. b.-N.-S. (1994). </w:t>
          </w:r>
          <w:r w:rsidRPr="00B03FCB">
            <w:rPr>
              <w:rFonts w:asciiTheme="majorBidi" w:hAnsiTheme="majorBidi" w:cstheme="majorBidi"/>
              <w:i/>
              <w:iCs/>
              <w:noProof/>
            </w:rPr>
            <w:t>al-Waṣīṭ fī Tafsīr al-Qurʾān al-Majīd</w:t>
          </w:r>
          <w:r w:rsidRPr="00B03FCB">
            <w:rPr>
              <w:rFonts w:asciiTheme="majorBidi" w:hAnsiTheme="majorBidi" w:cstheme="majorBidi"/>
              <w:noProof/>
            </w:rPr>
            <w:t xml:space="preserve"> (Vol. 1). Bayrūt: Dār al-Kutub al-ʿIlmīyyah.</w:t>
          </w:r>
        </w:p>
        <w:p w:rsidR="00E6533D" w:rsidRPr="00B03FCB" w:rsidP="00E6533D">
          <w:pPr>
            <w:pStyle w:val="Bibliography"/>
            <w:spacing w:line="24" w:lineRule="atLeast"/>
            <w:ind w:left="720" w:hanging="720"/>
            <w:rPr>
              <w:rFonts w:asciiTheme="majorBidi" w:hAnsiTheme="majorBidi" w:cstheme="majorBidi"/>
              <w:noProof/>
            </w:rPr>
          </w:pPr>
          <w:r>
            <w:rPr>
              <w:rFonts w:asciiTheme="majorBidi" w:hAnsiTheme="majorBidi" w:cstheme="majorBidi"/>
              <w:noProof/>
            </w:rPr>
            <w:t>a</w:t>
          </w:r>
          <w:r w:rsidRPr="00B03FCB">
            <w:rPr>
              <w:rFonts w:asciiTheme="majorBidi" w:hAnsiTheme="majorBidi" w:cstheme="majorBidi"/>
              <w:noProof/>
            </w:rPr>
            <w:t xml:space="preserve">l-Wāsiṭī, A. a.-Ḥ.-L. (1948). </w:t>
          </w:r>
          <w:r w:rsidRPr="00B03FCB">
            <w:rPr>
              <w:rFonts w:asciiTheme="majorBidi" w:hAnsiTheme="majorBidi" w:cstheme="majorBidi"/>
              <w:i/>
              <w:iCs/>
              <w:noProof/>
            </w:rPr>
            <w:t>al-Ḥīkam wa al-Mawāʿiẓ.</w:t>
          </w:r>
          <w:r w:rsidRPr="00B03FCB">
            <w:rPr>
              <w:rFonts w:asciiTheme="majorBidi" w:hAnsiTheme="majorBidi" w:cstheme="majorBidi"/>
              <w:noProof/>
            </w:rPr>
            <w:t xml:space="preserve"> Dār al-Ḥadīth.</w:t>
          </w:r>
        </w:p>
        <w:p w:rsidR="00E6533D" w:rsidRPr="00B03FCB" w:rsidP="00E6533D">
          <w:pPr>
            <w:pStyle w:val="Bibliography"/>
            <w:spacing w:line="24" w:lineRule="atLeast"/>
            <w:ind w:left="720" w:hanging="720"/>
            <w:rPr>
              <w:rFonts w:asciiTheme="majorBidi" w:hAnsiTheme="majorBidi" w:cstheme="majorBidi"/>
              <w:noProof/>
            </w:rPr>
          </w:pPr>
          <w:r w:rsidRPr="00B03FCB">
            <w:rPr>
              <w:rFonts w:asciiTheme="majorBidi" w:hAnsiTheme="majorBidi" w:cstheme="majorBidi"/>
              <w:noProof/>
            </w:rPr>
            <w:t xml:space="preserve">Zuhār, ʿ. (2008). </w:t>
          </w:r>
          <w:r w:rsidRPr="00B03FCB">
            <w:rPr>
              <w:rFonts w:asciiTheme="majorBidi" w:hAnsiTheme="majorBidi" w:cstheme="majorBidi"/>
              <w:i/>
              <w:iCs/>
              <w:noProof/>
            </w:rPr>
            <w:t>Juhūd al-Ṣūfīyyah fī Khidmat al-Ḥadīth Riwāyatan wa Dirāyatan</w:t>
          </w:r>
          <w:r w:rsidRPr="00B03FCB">
            <w:rPr>
              <w:rFonts w:asciiTheme="majorBidi" w:hAnsiTheme="majorBidi" w:cstheme="majorBidi"/>
              <w:noProof/>
            </w:rPr>
            <w:t xml:space="preserve"> (1 ed.).</w:t>
          </w:r>
        </w:p>
        <w:p w:rsidR="005D2207" w:rsidP="00E6533D">
          <w:pPr>
            <w:rPr>
              <w:lang w:val="en-IN"/>
            </w:rPr>
          </w:pPr>
          <w:r>
            <w:rPr>
              <w:rFonts w:eastAsia="Times New Roman" w:asciiTheme="majorBidi" w:hAnsiTheme="majorBidi" w:cstheme="majorBidi"/>
              <w:b/>
              <w:bCs/>
              <w:noProof/>
              <w:sz w:val="24"/>
              <w:szCs w:val="24"/>
              <w:lang w:val="en-US"/>
            </w:rPr>
            <w:pict>
              <v:shape id="_x0000_s1041" type="#_x0000_t202" style="width:327.75pt;height:15.8pt;margin-top:5.7pt;margin-left:-8.9pt;position:absolute;visibility:visible;z-index:251658240" stroked="f">
                <v:textbox>
                  <w:txbxContent>
                    <w:p w:rsidR="004A0722" w:rsidP="00E6533D">
                      <w:pPr>
                        <w:bidi/>
                        <w:jc w:val="right"/>
                      </w:pPr>
                    </w:p>
                  </w:txbxContent>
                </v:textbox>
              </v:shape>
            </w:pict>
          </w:r>
          <w:r w:rsidRPr="00B03FCB">
            <w:rPr>
              <w:rFonts w:asciiTheme="majorBidi" w:hAnsiTheme="majorBidi" w:cstheme="majorBidi"/>
              <w:b/>
              <w:bCs/>
              <w:noProof/>
            </w:rPr>
            <w:fldChar w:fldCharType="end"/>
          </w:r>
        </w:p>
      </w:sdtContent>
    </w:sdt>
    <w:p w:rsidR="005D2207" w:rsidP="005D2207">
      <w:pPr>
        <w:rPr>
          <w:lang w:val="en-IN"/>
        </w:rPr>
      </w:pPr>
    </w:p>
    <w:p w:rsidR="005D2207" w:rsidP="005D2207">
      <w:pPr>
        <w:rPr>
          <w:lang w:val="en-IN"/>
        </w:rPr>
      </w:pPr>
    </w:p>
    <w:p w:rsidR="005D2207" w:rsidP="005D2207">
      <w:pPr>
        <w:rPr>
          <w:lang w:val="en-IN"/>
        </w:rPr>
      </w:pPr>
    </w:p>
    <w:p w:rsidR="005D2207" w:rsidP="005D2207">
      <w:pPr>
        <w:rPr>
          <w:lang w:val="en-IN"/>
        </w:rPr>
      </w:pPr>
    </w:p>
    <w:p w:rsidR="00AA5407" w:rsidP="00E6533D">
      <w:pPr>
        <w:rPr>
          <w:lang w:val="en-IN"/>
        </w:rPr>
      </w:pPr>
    </w:p>
    <w:p w:rsidR="00E6533D" w:rsidP="00E6533D">
      <w:pPr>
        <w:rPr>
          <w:lang w:val="en-IN"/>
        </w:rPr>
      </w:pPr>
    </w:p>
    <w:p w:rsidR="00E6533D" w:rsidP="00E6533D">
      <w:pPr>
        <w:rPr>
          <w:lang w:val="en-IN"/>
        </w:rPr>
      </w:pPr>
    </w:p>
    <w:p w:rsidR="00E6533D" w:rsidP="00E6533D">
      <w:pPr>
        <w:rPr>
          <w:lang w:val="en-IN"/>
        </w:rPr>
      </w:pPr>
    </w:p>
    <w:p w:rsidR="00E6533D" w:rsidP="00E6533D">
      <w:pPr>
        <w:rPr>
          <w:lang w:val="en-IN"/>
        </w:rPr>
      </w:pPr>
    </w:p>
    <w:p w:rsidR="00B865C6" w:rsidP="00E6533D">
      <w:pPr>
        <w:rPr>
          <w:lang w:val="en-IN"/>
        </w:rPr>
      </w:pPr>
    </w:p>
    <w:p w:rsidR="00E6533D" w:rsidP="00E6533D">
      <w:pPr>
        <w:rPr>
          <w:lang w:val="en-IN"/>
        </w:rPr>
      </w:pPr>
    </w:p>
    <w:sectPr w:rsidSect="007C5A86">
      <w:headerReference w:type="default" r:id="rId9"/>
      <w:footnotePr>
        <w:numStart w:val="3"/>
        <w:numRestart w:val="eachPage"/>
      </w:footnotePr>
      <w:type w:val="continuous"/>
      <w:pgSz w:w="9072" w:h="13608"/>
      <w:pgMar w:top="1440" w:right="1440" w:bottom="1440" w:left="1440" w:header="720" w:footer="720" w:gutter="0"/>
      <w:cols w:space="720"/>
      <w:titlePg/>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MS Sans Serif">
    <w:altName w:val="Times New Roman"/>
    <w:panose1 w:val="00000000000000000000"/>
    <w:charset w:val="B2"/>
    <w:family w:val="auto"/>
    <w:notTrueType/>
    <w:pitch w:val="default"/>
    <w:sig w:usb0="00002000" w:usb1="00000000" w:usb2="00000000" w:usb3="00000000" w:csb0="00000040" w:csb1="00000000"/>
  </w:font>
  <w:font w:name="Hesham Kashkool">
    <w:altName w:val="Arial"/>
    <w:charset w:val="B2"/>
    <w:family w:val="auto"/>
    <w:pitch w:val="variable"/>
    <w:sig w:usb0="00002001" w:usb1="00000000" w:usb2="00000000" w:usb3="00000000" w:csb0="00000040"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Cambria">
    <w:panose1 w:val="02040503050406030204"/>
    <w:charset w:val="00"/>
    <w:family w:val="roman"/>
    <w:pitch w:val="variable"/>
    <w:sig w:usb0="A00002EF" w:usb1="4000004B" w:usb2="00000000" w:usb3="00000000" w:csb0="0000019F" w:csb1="00000000"/>
  </w:font>
  <w:font w:name="AL-Hotham">
    <w:charset w:val="B2"/>
    <w:family w:val="auto"/>
    <w:pitch w:val="variable"/>
    <w:sig w:usb0="00002001" w:usb1="00000000" w:usb2="00000000" w:usb3="00000000" w:csb0="00000040" w:csb1="00000000"/>
  </w:font>
  <w:font w:name="Bold">
    <w:altName w:val="Times New Roman"/>
    <w:panose1 w:val="00000000000000000000"/>
    <w:charset w:val="00"/>
    <w:family w:val="roman"/>
    <w:notTrueType/>
    <w:pitch w:val="default"/>
    <w:sig w:usb0="00000000" w:usb1="00000000" w:usb2="00000000" w:usb3="00000000" w:csb0="00000000" w:csb1="00000000"/>
  </w:font>
  <w:font w:name="TimesNewRoman">
    <w:altName w:val="Times New Roman"/>
    <w:panose1 w:val="00000000000000000000"/>
    <w:charset w:val="00"/>
    <w:family w:val="roman"/>
    <w:notTrueType/>
    <w:pitch w:val="default"/>
    <w:sig w:usb0="00000000" w:usb1="00000000" w:usb2="00000000" w:usb3="00000000" w:csb0="00000000" w:csb1="00000000"/>
  </w:font>
  <w:font w:name="AHT Times New Roman">
    <w:altName w:val="Times New Roman"/>
    <w:charset w:val="00"/>
    <w:family w:val="roman"/>
    <w:pitch w:val="variable"/>
    <w:sig w:usb0="00000003" w:usb1="00000000" w:usb2="00000000" w:usb3="00000000" w:csb0="00000001" w:csb1="00000000"/>
  </w:font>
  <w:font w:name="TimesNewRomanPSMT">
    <w:altName w:val="MS Mincho"/>
    <w:panose1 w:val="00000000000000000000"/>
    <w:charset w:val="80"/>
    <w:family w:val="auto"/>
    <w:notTrueType/>
    <w:pitch w:val="default"/>
    <w:sig w:usb0="00000001" w:usb1="08070000" w:usb2="00000010" w:usb3="00000000" w:csb0="0002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0722" w:rsidP="002F540B">
    <w:pPr>
      <w:pStyle w:val="Footer"/>
      <w:spacing w:before="120"/>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20EC0" w:rsidP="002B167D">
      <w:pPr>
        <w:spacing w:after="0" w:line="240" w:lineRule="auto"/>
      </w:pPr>
      <w:r>
        <w:separator/>
      </w:r>
    </w:p>
  </w:footnote>
  <w:footnote w:type="continuationSeparator" w:id="1">
    <w:p w:rsidR="00820EC0" w:rsidP="003E2A5A">
      <w:pPr>
        <w:spacing w:after="0" w:line="240" w:lineRule="auto"/>
      </w:pPr>
      <w:r>
        <w:continuationSeparator/>
      </w:r>
    </w:p>
  </w:footnote>
  <w:footnote w:id="2">
    <w:p w:rsidR="004A0722" w:rsidRPr="003A5735">
      <w:pPr>
        <w:pStyle w:val="FootnoteText"/>
      </w:pPr>
      <w:r>
        <w:rPr>
          <w:rStyle w:val="FootnoteReference"/>
        </w:rPr>
        <w:footnoteRef/>
      </w:r>
      <w:r>
        <w:t xml:space="preserve"> Research scholar, </w:t>
      </w:r>
      <w:r w:rsidRPr="000D410A">
        <w:t>Department of Hadith and Related Sciences</w:t>
      </w:r>
      <w:r>
        <w:t>,</w:t>
      </w:r>
      <w:r w:rsidRPr="000D410A">
        <w:t xml:space="preserve"> Darul Huda Isl</w:t>
      </w:r>
      <w:r>
        <w:t xml:space="preserve">amic University, </w:t>
      </w:r>
      <w:r w:rsidRPr="000D410A">
        <w:t xml:space="preserve"> Email:- gufran.qiac@gmail.com</w:t>
      </w:r>
    </w:p>
  </w:footnote>
  <w:footnote w:id="3">
    <w:p w:rsidR="004A0722" w:rsidRPr="003637F8" w:rsidP="00E6533D">
      <w:pPr>
        <w:pStyle w:val="FootnoteText"/>
        <w:jc w:val="both"/>
        <w:rPr>
          <w:sz w:val="18"/>
          <w:szCs w:val="18"/>
        </w:rPr>
      </w:pPr>
      <w:r w:rsidRPr="003637F8">
        <w:rPr>
          <w:rStyle w:val="FootnoteReference"/>
          <w:sz w:val="18"/>
          <w:szCs w:val="18"/>
        </w:rPr>
        <w:footnoteRef/>
      </w:r>
      <w:r>
        <w:rPr>
          <w:sz w:val="18"/>
          <w:szCs w:val="18"/>
        </w:rPr>
        <w:t xml:space="preserve"> </w:t>
      </w:r>
      <w:r w:rsidRPr="003637F8">
        <w:rPr>
          <w:rFonts w:asciiTheme="majorBidi" w:hAnsiTheme="majorBidi" w:cstheme="majorBidi"/>
          <w:sz w:val="18"/>
          <w:szCs w:val="18"/>
        </w:rPr>
        <w:t xml:space="preserve">Ibn Ḥibbān al-Bustī (d. 354/965), a prominent ḥadīth scholar of the late ʿAbbāsid era, is renowned for his meticulous classification of aḥādīth. His </w:t>
      </w:r>
      <w:r w:rsidRPr="003637F8">
        <w:rPr>
          <w:rFonts w:asciiTheme="majorBidi" w:hAnsiTheme="majorBidi" w:cstheme="majorBidi"/>
          <w:i/>
          <w:iCs/>
          <w:sz w:val="18"/>
          <w:szCs w:val="18"/>
        </w:rPr>
        <w:t>Ṣaḥīḥ ibn Ḥibbān</w:t>
      </w:r>
      <w:r w:rsidRPr="003637F8">
        <w:rPr>
          <w:rFonts w:asciiTheme="majorBidi" w:hAnsiTheme="majorBidi" w:cstheme="majorBidi"/>
          <w:sz w:val="18"/>
          <w:szCs w:val="18"/>
        </w:rPr>
        <w:t xml:space="preserve">, uniquely arranged according to legal categories, showcases his innovative methodology in ḥadīth sciences, while </w:t>
      </w:r>
      <w:r w:rsidRPr="003637F8">
        <w:rPr>
          <w:rFonts w:asciiTheme="majorBidi" w:hAnsiTheme="majorBidi" w:cstheme="majorBidi"/>
          <w:i/>
          <w:iCs/>
          <w:sz w:val="18"/>
          <w:szCs w:val="18"/>
        </w:rPr>
        <w:t>Kitāb al-Thiqāt</w:t>
      </w:r>
      <w:r w:rsidRPr="003637F8">
        <w:rPr>
          <w:rFonts w:asciiTheme="majorBidi" w:hAnsiTheme="majorBidi" w:cstheme="majorBidi"/>
          <w:sz w:val="18"/>
          <w:szCs w:val="18"/>
        </w:rPr>
        <w:t xml:space="preserve"> serves as a biographical dictionary of reliable narrators, reflecting his critical insight into rijāl. He also authored </w:t>
      </w:r>
      <w:r w:rsidRPr="003637F8">
        <w:rPr>
          <w:rFonts w:asciiTheme="majorBidi" w:hAnsiTheme="majorBidi" w:cstheme="majorBidi"/>
          <w:i/>
          <w:iCs/>
          <w:sz w:val="18"/>
          <w:szCs w:val="18"/>
        </w:rPr>
        <w:t>Rawḍat al-ʿUqalāʾ wa Nuzhat al-Fuḍalāʾ</w:t>
      </w:r>
      <w:r w:rsidRPr="003637F8">
        <w:rPr>
          <w:rFonts w:asciiTheme="majorBidi" w:hAnsiTheme="majorBidi" w:cstheme="majorBidi"/>
          <w:sz w:val="18"/>
          <w:szCs w:val="18"/>
        </w:rPr>
        <w:t>, a seminal work on ethics and wisdom. Ibn Ḥibbān studied under al-Ḥasan ibn Sufyān al-Nasawī and was contemporaneous with scholars like al-Dāraquṭnī, who critiqued some of his methodological approaches, particularly his reliance on the principle of iṣṭilāḥ (standardization). His intellectual milieu reflects the consolidation of ḥadīth sciences within the larger framework of Islamic jurisprudence in the 4th/10th century.</w:t>
      </w:r>
    </w:p>
  </w:footnote>
  <w:footnote w:id="4">
    <w:p w:rsidR="004A0722" w:rsidP="00E6533D">
      <w:pPr>
        <w:pStyle w:val="FootnoteText"/>
        <w:jc w:val="both"/>
      </w:pPr>
      <w:r w:rsidRPr="003637F8">
        <w:rPr>
          <w:rStyle w:val="FootnoteReference"/>
          <w:sz w:val="18"/>
          <w:szCs w:val="18"/>
        </w:rPr>
        <w:footnoteRef/>
      </w:r>
      <w:r w:rsidRPr="003637F8">
        <w:rPr>
          <w:sz w:val="18"/>
          <w:szCs w:val="18"/>
        </w:rPr>
        <w:t xml:space="preserve"> </w:t>
      </w:r>
      <w:r w:rsidRPr="003637F8">
        <w:rPr>
          <w:rFonts w:asciiTheme="majorBidi" w:hAnsiTheme="majorBidi" w:cstheme="majorBidi"/>
          <w:sz w:val="18"/>
          <w:szCs w:val="18"/>
        </w:rPr>
        <w:t>Abū Zakariya Yaḥyā bin Mu`ādh ibn Ja'far al-Rāzi was a Sunni Muslim scholar, Sufi mystic, and preacher who lived in the 3rd century AH (9th century CE). He was born in Ray, Iran, and later moved to Balkh and Nishapur, where he died in 871 CE. He was known for his piety, wisdom, and eloquent sermons.</w:t>
      </w:r>
    </w:p>
  </w:footnote>
  <w:footnote w:id="5">
    <w:p w:rsidR="004A0722" w:rsidP="00E6533D">
      <w:pPr>
        <w:pStyle w:val="FootnoteText"/>
        <w:jc w:val="both"/>
      </w:pPr>
      <w:r w:rsidRPr="003637F8">
        <w:rPr>
          <w:rStyle w:val="FootnoteReference"/>
          <w:sz w:val="18"/>
          <w:szCs w:val="18"/>
        </w:rPr>
        <w:footnoteRef/>
      </w:r>
      <w:r w:rsidRPr="003637F8">
        <w:rPr>
          <w:sz w:val="18"/>
          <w:szCs w:val="18"/>
        </w:rPr>
        <w:t xml:space="preserve"> </w:t>
      </w:r>
      <w:r w:rsidRPr="003637F8">
        <w:rPr>
          <w:rFonts w:asciiTheme="majorBidi" w:hAnsiTheme="majorBidi" w:cstheme="majorBidi"/>
          <w:sz w:val="18"/>
          <w:szCs w:val="18"/>
        </w:rPr>
        <w:t xml:space="preserve">Abū al-Ḥasan Alī ibn Aḥmad ibn Muḥammad ibn Alī al-Wāhidī al-Naysābūrī al-Shafi’ī (d. 468 AH) was a scholar known for his expertise in </w:t>
      </w:r>
      <w:r>
        <w:rPr>
          <w:rFonts w:asciiTheme="majorBidi" w:hAnsiTheme="majorBidi" w:cstheme="majorBidi"/>
          <w:sz w:val="18"/>
          <w:szCs w:val="18"/>
        </w:rPr>
        <w:t>Qurʾān</w:t>
      </w:r>
      <w:r w:rsidRPr="003637F8">
        <w:rPr>
          <w:rFonts w:asciiTheme="majorBidi" w:hAnsiTheme="majorBidi" w:cstheme="majorBidi"/>
          <w:sz w:val="18"/>
          <w:szCs w:val="18"/>
        </w:rPr>
        <w:t>ic exegesis (</w:t>
      </w:r>
      <w:r w:rsidRPr="003637F8">
        <w:rPr>
          <w:rFonts w:asciiTheme="majorBidi" w:hAnsiTheme="majorBidi" w:cstheme="majorBidi"/>
          <w:i/>
          <w:sz w:val="18"/>
          <w:szCs w:val="18"/>
        </w:rPr>
        <w:t>Tafsīr</w:t>
      </w:r>
      <w:r w:rsidRPr="003637F8">
        <w:rPr>
          <w:rFonts w:asciiTheme="majorBidi" w:hAnsiTheme="majorBidi" w:cstheme="majorBidi"/>
          <w:sz w:val="18"/>
          <w:szCs w:val="18"/>
        </w:rPr>
        <w:t>), reasons for revelation (Asbāb al-Nuzūl), Arabic language, and history. He was also a poet whose work was praised as eloquent. His most notable works include “</w:t>
      </w:r>
      <w:r w:rsidRPr="003637F8">
        <w:rPr>
          <w:rFonts w:asciiTheme="majorBidi" w:hAnsiTheme="majorBidi" w:cstheme="majorBidi"/>
          <w:i/>
          <w:iCs/>
          <w:sz w:val="18"/>
          <w:szCs w:val="18"/>
        </w:rPr>
        <w:t>Asbāb al-Nuzūl</w:t>
      </w:r>
      <w:r w:rsidRPr="003637F8">
        <w:rPr>
          <w:rFonts w:asciiTheme="majorBidi" w:hAnsiTheme="majorBidi" w:cstheme="majorBidi"/>
          <w:sz w:val="18"/>
          <w:szCs w:val="18"/>
        </w:rPr>
        <w:t xml:space="preserve">” (Reasons for Revelation), and he authored three commentaries on the </w:t>
      </w:r>
      <w:r>
        <w:rPr>
          <w:rFonts w:asciiTheme="majorBidi" w:hAnsiTheme="majorBidi" w:cstheme="majorBidi"/>
          <w:sz w:val="18"/>
          <w:szCs w:val="18"/>
        </w:rPr>
        <w:t>Qurʾān</w:t>
      </w:r>
      <w:r w:rsidRPr="003637F8">
        <w:rPr>
          <w:rFonts w:asciiTheme="majorBidi" w:hAnsiTheme="majorBidi" w:cstheme="majorBidi"/>
          <w:sz w:val="18"/>
          <w:szCs w:val="18"/>
        </w:rPr>
        <w:t xml:space="preserve">: </w:t>
      </w:r>
      <w:r w:rsidRPr="003637F8">
        <w:rPr>
          <w:rFonts w:asciiTheme="majorBidi" w:hAnsiTheme="majorBidi" w:cstheme="majorBidi"/>
          <w:i/>
          <w:sz w:val="18"/>
          <w:szCs w:val="18"/>
        </w:rPr>
        <w:t>“Al-Basīṭ”</w:t>
      </w:r>
      <w:r w:rsidRPr="003637F8">
        <w:rPr>
          <w:rFonts w:asciiTheme="majorBidi" w:hAnsiTheme="majorBidi" w:cstheme="majorBidi"/>
          <w:sz w:val="18"/>
          <w:szCs w:val="18"/>
        </w:rPr>
        <w:t xml:space="preserve">, </w:t>
      </w:r>
      <w:r w:rsidRPr="003637F8">
        <w:rPr>
          <w:rFonts w:asciiTheme="majorBidi" w:hAnsiTheme="majorBidi" w:cstheme="majorBidi"/>
          <w:i/>
          <w:sz w:val="18"/>
          <w:szCs w:val="18"/>
        </w:rPr>
        <w:t>“Al-Wasīṭ”</w:t>
      </w:r>
      <w:r w:rsidRPr="003637F8">
        <w:rPr>
          <w:rFonts w:asciiTheme="majorBidi" w:hAnsiTheme="majorBidi" w:cstheme="majorBidi"/>
          <w:sz w:val="18"/>
          <w:szCs w:val="18"/>
        </w:rPr>
        <w:t xml:space="preserve">, and </w:t>
      </w:r>
      <w:r w:rsidRPr="003637F8">
        <w:rPr>
          <w:rFonts w:asciiTheme="majorBidi" w:hAnsiTheme="majorBidi" w:cstheme="majorBidi"/>
          <w:i/>
          <w:sz w:val="18"/>
          <w:szCs w:val="18"/>
        </w:rPr>
        <w:t>"Al-Wajīz".</w:t>
      </w:r>
    </w:p>
  </w:footnote>
  <w:footnote w:id="6">
    <w:p w:rsidR="004A0722" w:rsidP="00E6533D">
      <w:pPr>
        <w:pStyle w:val="FootnoteText"/>
        <w:jc w:val="both"/>
      </w:pPr>
      <w:r>
        <w:rPr>
          <w:rStyle w:val="FootnoteReference"/>
        </w:rPr>
        <w:footnoteRef/>
      </w:r>
      <w:r>
        <w:t xml:space="preserve"> </w:t>
      </w:r>
      <w:r w:rsidRPr="003637F8">
        <w:rPr>
          <w:rFonts w:asciiTheme="majorBidi" w:hAnsiTheme="majorBidi" w:cstheme="majorBidi"/>
          <w:sz w:val="18"/>
          <w:szCs w:val="18"/>
        </w:rPr>
        <w:t>Abū Bakr Muḥammad ibn Umar al-Warrāq al-Tirmidhi, known as “al-Ḥakīm” (wise man), was one of the scholars of Ahl al-Sunnah wal-Jamā’ah and a prominent Sunni Sufi in the 3rd century AH. He hailed from Tirmidh and resided in Balkh. He associated with Aḥmad ibn Khaḍrawayh, Muḥammad ibn Sa’d ibn Ibrīhīm al-Zāhid, and Muḥammad ibn Umar ibn Khushnām al-Balkhī. Al-Warrāq authored renowned works on Sufism, jurisprudence, and literature, and he was also a transmitter of Hadith. He passed away in the year 240 AH.</w:t>
      </w:r>
    </w:p>
  </w:footnote>
  <w:footnote w:id="7">
    <w:p w:rsidR="004A0722" w:rsidP="00E6533D">
      <w:pPr>
        <w:pStyle w:val="FootnoteText"/>
        <w:jc w:val="both"/>
      </w:pPr>
      <w:r>
        <w:rPr>
          <w:rStyle w:val="FootnoteReference"/>
        </w:rPr>
        <w:footnoteRef/>
      </w:r>
      <w:r>
        <w:t xml:space="preserve"> </w:t>
      </w:r>
      <w:r w:rsidRPr="00A5081D">
        <w:rPr>
          <w:rFonts w:asciiTheme="majorBidi" w:hAnsiTheme="majorBidi" w:cstheme="majorBidi"/>
          <w:sz w:val="18"/>
          <w:szCs w:val="18"/>
        </w:rPr>
        <w:t>Aḥmad b. Masrūq (d. 298/911), a pivotal ascetic and Sufi of the late ʿAbbāsid period, was deeply embedded in the spiritual milieu of Baghdad. A student of Sahl al-Tustarī, Aḥmad integrated asceticism (</w:t>
      </w:r>
      <w:r w:rsidRPr="00A5081D">
        <w:rPr>
          <w:rFonts w:asciiTheme="majorBidi" w:hAnsiTheme="majorBidi" w:cstheme="majorBidi"/>
          <w:i/>
          <w:iCs/>
          <w:sz w:val="18"/>
          <w:szCs w:val="18"/>
        </w:rPr>
        <w:t>zuhd</w:t>
      </w:r>
      <w:r w:rsidRPr="00A5081D">
        <w:rPr>
          <w:rFonts w:asciiTheme="majorBidi" w:hAnsiTheme="majorBidi" w:cstheme="majorBidi"/>
          <w:sz w:val="18"/>
          <w:szCs w:val="18"/>
        </w:rPr>
        <w:t>) with the nascent principles of Sufism. His oral teachings, rather than written works, significantly shaped Sufi praxis. His student, Abū Bakr al-Shiblī, carried forward his legacy. Aḥmad’s contemporaries included luminaries like al-Junayd al-Baghdādī, with whom he shared a commitment to ethical purification and divine gnosis (</w:t>
      </w:r>
      <w:r w:rsidRPr="00A5081D">
        <w:rPr>
          <w:rFonts w:asciiTheme="majorBidi" w:hAnsiTheme="majorBidi" w:cstheme="majorBidi"/>
          <w:i/>
          <w:iCs/>
          <w:sz w:val="18"/>
          <w:szCs w:val="18"/>
        </w:rPr>
        <w:t>maʿrifa</w:t>
      </w:r>
      <w:r w:rsidRPr="00A5081D">
        <w:rPr>
          <w:rFonts w:asciiTheme="majorBidi" w:hAnsiTheme="majorBidi" w:cstheme="majorBidi"/>
          <w:sz w:val="18"/>
          <w:szCs w:val="18"/>
        </w:rPr>
        <w:t>).</w:t>
      </w:r>
    </w:p>
  </w:footnote>
  <w:footnote w:id="8">
    <w:p w:rsidR="004A0722" w:rsidRPr="006C47F8" w:rsidP="00E6533D">
      <w:pPr>
        <w:pStyle w:val="FootnoteText"/>
        <w:rPr>
          <w:sz w:val="18"/>
          <w:szCs w:val="18"/>
        </w:rPr>
      </w:pPr>
      <w:r w:rsidRPr="006C47F8">
        <w:rPr>
          <w:rStyle w:val="FootnoteReference"/>
          <w:sz w:val="18"/>
          <w:szCs w:val="18"/>
        </w:rPr>
        <w:footnoteRef/>
      </w:r>
      <w:r w:rsidRPr="006C47F8">
        <w:rPr>
          <w:sz w:val="18"/>
          <w:szCs w:val="18"/>
        </w:rPr>
        <w:t xml:space="preserve"> Ibn ʿArabī, al-Futūḥāt al-Makkīyyah (Vol. 1). Dār Ṣādir</w:t>
      </w:r>
      <w:r>
        <w:rPr>
          <w:sz w:val="18"/>
          <w:szCs w:val="18"/>
        </w:rPr>
        <w:t xml:space="preserve"> </w:t>
      </w:r>
      <w:r w:rsidRPr="006C47F8">
        <w:rPr>
          <w:sz w:val="18"/>
          <w:szCs w:val="18"/>
        </w:rPr>
        <w:t>(2004), v.1, p. 96.</w:t>
      </w:r>
    </w:p>
  </w:footnote>
  <w:footnote w:id="9">
    <w:p w:rsidR="004A0722" w:rsidRPr="00483258" w:rsidP="00E6533D">
      <w:pPr>
        <w:pStyle w:val="FootnoteText"/>
      </w:pPr>
      <w:r w:rsidRPr="006C47F8">
        <w:rPr>
          <w:rStyle w:val="FootnoteReference"/>
          <w:sz w:val="18"/>
          <w:szCs w:val="18"/>
        </w:rPr>
        <w:footnoteRef/>
      </w:r>
      <w:r w:rsidRPr="006C47F8">
        <w:rPr>
          <w:sz w:val="18"/>
          <w:szCs w:val="18"/>
        </w:rPr>
        <w:t xml:space="preserve"> Ibn ʿArabī, Al-Risālat al-Wujūdīyah Fī Ma’na Qawlihi Man ‘Arafa Nafsahu Fa-qad ‘Arafa Rabbahu, Beirut</w:t>
      </w:r>
      <w:r>
        <w:rPr>
          <w:sz w:val="18"/>
          <w:szCs w:val="18"/>
        </w:rPr>
        <w:t xml:space="preserve"> (2004)</w:t>
      </w:r>
      <w:r w:rsidRPr="006C47F8">
        <w:rPr>
          <w:sz w:val="18"/>
          <w:szCs w:val="18"/>
        </w:rPr>
        <w:t>, p. 36.</w:t>
      </w:r>
    </w:p>
  </w:footnote>
  <w:footnote w:id="10">
    <w:p w:rsidR="004A0722" w:rsidRPr="00FA600F" w:rsidP="00E6533D">
      <w:pPr>
        <w:pStyle w:val="FootnoteText"/>
        <w:jc w:val="both"/>
        <w:rPr>
          <w:rFonts w:asciiTheme="majorBidi" w:hAnsiTheme="majorBidi" w:cstheme="majorBidi"/>
        </w:rPr>
      </w:pPr>
      <w:r>
        <w:rPr>
          <w:rStyle w:val="FootnoteReference"/>
        </w:rPr>
        <w:footnoteRef/>
      </w:r>
      <w:r>
        <w:t xml:space="preserve"> </w:t>
      </w:r>
      <w:r w:rsidRPr="00FA600F">
        <w:rPr>
          <w:rFonts w:asciiTheme="majorBidi" w:hAnsiTheme="majorBidi" w:cstheme="majorBidi"/>
          <w:sz w:val="18"/>
          <w:szCs w:val="18"/>
        </w:rPr>
        <w:t>Tāj al-Dīn Abū'l-Faḍl Aḥmad ibn Muḥammad ibn ʿAbd al-Karīm ibn ʿAṭā Allāh al-Judhami al-Iskandarī al-Shādhilī was an Egyptian Malikite jurist, muḥaddith and the third murshid (spiritual "guide" or "master") of the Shādhilī Sufi order. Best known for his work “</w:t>
      </w:r>
      <w:r w:rsidRPr="00FA600F">
        <w:rPr>
          <w:rFonts w:asciiTheme="majorBidi" w:hAnsiTheme="majorBidi" w:cstheme="majorBidi"/>
          <w:i/>
          <w:iCs/>
          <w:sz w:val="18"/>
          <w:szCs w:val="18"/>
        </w:rPr>
        <w:t>Kitāb al-Ḥikam</w:t>
      </w:r>
      <w:r w:rsidRPr="00FA600F">
        <w:rPr>
          <w:rFonts w:asciiTheme="majorBidi" w:hAnsiTheme="majorBidi" w:cstheme="majorBidi"/>
          <w:sz w:val="18"/>
          <w:szCs w:val="18"/>
        </w:rPr>
        <w:t>” (Book of Wisdoms). He confronted Ibn Taymīyyah al-Ḥurrānī (d. 728/1328) along with 200 Sufis for his perceived excesses in attacking the Sufis.</w:t>
      </w:r>
    </w:p>
  </w:footnote>
  <w:footnote w:id="11">
    <w:p w:rsidR="004A0722" w:rsidP="00E6533D">
      <w:pPr>
        <w:pStyle w:val="FootnoteText"/>
        <w:jc w:val="both"/>
      </w:pPr>
      <w:r>
        <w:rPr>
          <w:rStyle w:val="FootnoteReference"/>
        </w:rPr>
        <w:footnoteRef/>
      </w:r>
      <w:r>
        <w:t xml:space="preserve"> </w:t>
      </w:r>
      <w:r w:rsidRPr="00FA600F">
        <w:rPr>
          <w:rFonts w:asciiTheme="majorBidi" w:hAnsiTheme="majorBidi" w:cstheme="majorBidi"/>
          <w:sz w:val="18"/>
          <w:szCs w:val="18"/>
        </w:rPr>
        <w:t>Abu al-`Abbās Aḥmad ibn `Umar ibn Muḥammad al-Mursī was a renowned Sufi saint born in 1219 CE in Murcia, Spain, and passed away in 1286 CE in Alexandria, Egypt. He was a prominent figure in the mystical tradition of Islam and a disciple of the famous Sufi master Abu al-Ḥasan al-Shādhilī. Al-Mursī played a significant role in the dissemination of Sufism in the Maghreb and Egypt. His teachings emphasized spiritual purification and devotion to God. He is the second master of the Shādhilī order.</w:t>
      </w:r>
    </w:p>
  </w:footnote>
  <w:footnote w:id="12">
    <w:p w:rsidR="004A0722" w:rsidP="00E6533D">
      <w:pPr>
        <w:pStyle w:val="FootnoteText"/>
        <w:jc w:val="both"/>
      </w:pPr>
      <w:r>
        <w:rPr>
          <w:rStyle w:val="FootnoteReference"/>
        </w:rPr>
        <w:footnoteRef/>
      </w:r>
      <w:r>
        <w:t xml:space="preserve"> </w:t>
      </w:r>
      <w:r w:rsidRPr="00FA600F">
        <w:rPr>
          <w:rFonts w:asciiTheme="majorBidi" w:hAnsiTheme="majorBidi" w:cstheme="majorBidi"/>
          <w:sz w:val="18"/>
          <w:szCs w:val="18"/>
        </w:rPr>
        <w:t>This Fatwā is mentioned in the marginalia Fatāwā al-Imām al-Nawawī under the Hadith of Self-knowing. The Muhashshī did not mention any source in which Ibn Ḥajar’s Fatwā could be found. Neither the researcher could locate any authentic sources where the mentioned statement is cited.</w:t>
      </w:r>
    </w:p>
  </w:footnote>
  <w:footnote w:id="13">
    <w:p w:rsidR="004A0722" w:rsidP="00E6533D">
      <w:pPr>
        <w:pStyle w:val="FootnoteText"/>
        <w:jc w:val="both"/>
      </w:pPr>
      <w:r>
        <w:rPr>
          <w:rStyle w:val="FootnoteReference"/>
        </w:rPr>
        <w:footnoteRef/>
      </w:r>
      <w:r>
        <w:t xml:space="preserve"> </w:t>
      </w:r>
      <w:r w:rsidRPr="00FA600F">
        <w:rPr>
          <w:rFonts w:asciiTheme="majorBidi" w:hAnsiTheme="majorBidi" w:cstheme="majorBidi"/>
          <w:sz w:val="18"/>
          <w:szCs w:val="18"/>
        </w:rPr>
        <w:t xml:space="preserve">Abū Jaʿfar Muḥammad b. Yaʿqūb al-Kulaynī (d. 329/941), a central figure in early Twelver Shīʿī scholarship, compiled the monumental </w:t>
      </w:r>
      <w:r w:rsidRPr="00FA600F">
        <w:rPr>
          <w:rFonts w:asciiTheme="majorBidi" w:hAnsiTheme="majorBidi" w:cstheme="majorBidi"/>
          <w:i/>
          <w:iCs/>
          <w:sz w:val="18"/>
          <w:szCs w:val="18"/>
        </w:rPr>
        <w:t>Al-Kāfī fī ʿIlm al-Dīn</w:t>
      </w:r>
      <w:r w:rsidRPr="00FA600F">
        <w:rPr>
          <w:rFonts w:asciiTheme="majorBidi" w:hAnsiTheme="majorBidi" w:cstheme="majorBidi"/>
          <w:sz w:val="18"/>
          <w:szCs w:val="18"/>
        </w:rPr>
        <w:t>, regarded as one of the four foundational ḥadīth collections (</w:t>
      </w:r>
      <w:r w:rsidRPr="00FA600F">
        <w:rPr>
          <w:rFonts w:asciiTheme="majorBidi" w:hAnsiTheme="majorBidi" w:cstheme="majorBidi"/>
          <w:i/>
          <w:iCs/>
          <w:sz w:val="18"/>
          <w:szCs w:val="18"/>
        </w:rPr>
        <w:t>al-kutub al-arbaʿa</w:t>
      </w:r>
      <w:r w:rsidRPr="00FA600F">
        <w:rPr>
          <w:rFonts w:asciiTheme="majorBidi" w:hAnsiTheme="majorBidi" w:cstheme="majorBidi"/>
          <w:sz w:val="18"/>
          <w:szCs w:val="18"/>
        </w:rPr>
        <w:t>) in Twelver Islam. A student of ʿAlī b. Ibrāhīm al-Qummī, al-Kulaynī’s work reflects the intellectual dynamism of the Būyid era. His methodology, emphasizing both isnād and matn criticism, was formative for subsequent Shīʿī scholars, such as Ibn Bābawayh (al-Ṣadūq).</w:t>
      </w:r>
    </w:p>
  </w:footnote>
  <w:footnote w:id="14">
    <w:p w:rsidR="004A0722" w:rsidP="00E6533D">
      <w:pPr>
        <w:pStyle w:val="FootnoteText"/>
        <w:jc w:val="both"/>
      </w:pPr>
      <w:r>
        <w:rPr>
          <w:rStyle w:val="FootnoteReference"/>
        </w:rPr>
        <w:footnoteRef/>
      </w:r>
      <w:r>
        <w:t xml:space="preserve"> </w:t>
      </w:r>
      <w:r w:rsidRPr="00FA600F">
        <w:rPr>
          <w:rFonts w:asciiTheme="majorBidi" w:hAnsiTheme="majorBidi" w:cstheme="majorBidi"/>
          <w:sz w:val="18"/>
          <w:szCs w:val="18"/>
        </w:rPr>
        <w:t>Abū Jaʿfar Muḥammad b. Ḥasan al-Ṭūsī (d. 460/1067), a preeminent Shīʿī theologian and jurist, was instrumental in shaping Twelver Shīʿī jurisprudence (</w:t>
      </w:r>
      <w:r w:rsidRPr="00FA600F">
        <w:rPr>
          <w:rFonts w:asciiTheme="majorBidi" w:hAnsiTheme="majorBidi" w:cstheme="majorBidi"/>
          <w:i/>
          <w:iCs/>
          <w:sz w:val="18"/>
          <w:szCs w:val="18"/>
        </w:rPr>
        <w:t>fiqh</w:t>
      </w:r>
      <w:r w:rsidRPr="00FA600F">
        <w:rPr>
          <w:rFonts w:asciiTheme="majorBidi" w:hAnsiTheme="majorBidi" w:cstheme="majorBidi"/>
          <w:sz w:val="18"/>
          <w:szCs w:val="18"/>
        </w:rPr>
        <w:t xml:space="preserve">). His </w:t>
      </w:r>
      <w:r w:rsidRPr="00FA600F">
        <w:rPr>
          <w:rFonts w:asciiTheme="majorBidi" w:hAnsiTheme="majorBidi" w:cstheme="majorBidi"/>
          <w:i/>
          <w:iCs/>
          <w:sz w:val="18"/>
          <w:szCs w:val="18"/>
        </w:rPr>
        <w:t>Al-Istibṣār</w:t>
      </w:r>
      <w:r w:rsidRPr="00FA600F">
        <w:rPr>
          <w:rFonts w:asciiTheme="majorBidi" w:hAnsiTheme="majorBidi" w:cstheme="majorBidi"/>
          <w:sz w:val="18"/>
          <w:szCs w:val="18"/>
        </w:rPr>
        <w:t xml:space="preserve"> and </w:t>
      </w:r>
      <w:r w:rsidRPr="00FA600F">
        <w:rPr>
          <w:rFonts w:asciiTheme="majorBidi" w:hAnsiTheme="majorBidi" w:cstheme="majorBidi"/>
          <w:i/>
          <w:iCs/>
          <w:sz w:val="18"/>
          <w:szCs w:val="18"/>
        </w:rPr>
        <w:t>Tahdhīb al-Aḥkām</w:t>
      </w:r>
      <w:r w:rsidRPr="00FA600F">
        <w:rPr>
          <w:rFonts w:asciiTheme="majorBidi" w:hAnsiTheme="majorBidi" w:cstheme="majorBidi"/>
          <w:sz w:val="18"/>
          <w:szCs w:val="18"/>
        </w:rPr>
        <w:t xml:space="preserve"> remain authoritative ḥadīth compilations. Additionally, his </w:t>
      </w:r>
      <w:r w:rsidRPr="00FA600F">
        <w:rPr>
          <w:rFonts w:asciiTheme="majorBidi" w:hAnsiTheme="majorBidi" w:cstheme="majorBidi"/>
          <w:i/>
          <w:iCs/>
          <w:sz w:val="18"/>
          <w:szCs w:val="18"/>
        </w:rPr>
        <w:t>Al-Khilāf</w:t>
      </w:r>
      <w:r w:rsidRPr="00FA600F">
        <w:rPr>
          <w:rFonts w:asciiTheme="majorBidi" w:hAnsiTheme="majorBidi" w:cstheme="majorBidi"/>
          <w:sz w:val="18"/>
          <w:szCs w:val="18"/>
        </w:rPr>
        <w:t xml:space="preserve"> addressed comparative Islamic law, reflecting his engagement with Sunni legal frameworks. Al-Ṭūsī, a student of Shaykh al-Mufīd, also taught Ḥasan al-Ḥillī. His scholarly activity coincided with the patronage of the Būyid dynasty, which encouraged Shīʿī intellectual advancements.</w:t>
      </w:r>
    </w:p>
  </w:footnote>
  <w:footnote w:id="15">
    <w:p w:rsidR="004A0722" w:rsidP="00E6533D">
      <w:pPr>
        <w:pStyle w:val="FootnoteText"/>
        <w:jc w:val="both"/>
      </w:pPr>
      <w:r>
        <w:rPr>
          <w:rStyle w:val="FootnoteReference"/>
        </w:rPr>
        <w:footnoteRef/>
      </w:r>
      <w:r>
        <w:t xml:space="preserve"> </w:t>
      </w:r>
      <w:r w:rsidRPr="00FA600F">
        <w:rPr>
          <w:rFonts w:asciiTheme="majorBidi" w:hAnsiTheme="majorBidi" w:cstheme="majorBidi"/>
          <w:sz w:val="18"/>
          <w:szCs w:val="18"/>
        </w:rPr>
        <w:t xml:space="preserve">Muḥammad Bāqir al-Majlisī (d. 1111/1699), a prolific Safavid scholar, authored the encyclopedic </w:t>
      </w:r>
      <w:r w:rsidRPr="00FA600F">
        <w:rPr>
          <w:rFonts w:asciiTheme="majorBidi" w:hAnsiTheme="majorBidi" w:cstheme="majorBidi"/>
          <w:i/>
          <w:iCs/>
          <w:sz w:val="18"/>
          <w:szCs w:val="18"/>
        </w:rPr>
        <w:t>Biḥār al-Anwār</w:t>
      </w:r>
      <w:r w:rsidRPr="00FA600F">
        <w:rPr>
          <w:rFonts w:asciiTheme="majorBidi" w:hAnsiTheme="majorBidi" w:cstheme="majorBidi"/>
          <w:sz w:val="18"/>
          <w:szCs w:val="18"/>
        </w:rPr>
        <w:t xml:space="preserve">, comprising over 100 volumes, systematically collecting Shīʿī ḥadīth and doctrinal materials. His </w:t>
      </w:r>
      <w:r w:rsidRPr="00FA600F">
        <w:rPr>
          <w:rFonts w:asciiTheme="majorBidi" w:hAnsiTheme="majorBidi" w:cstheme="majorBidi"/>
          <w:i/>
          <w:iCs/>
          <w:sz w:val="18"/>
          <w:szCs w:val="18"/>
        </w:rPr>
        <w:t>Mirʾāt al-ʿUqūl</w:t>
      </w:r>
      <w:r w:rsidRPr="00FA600F">
        <w:rPr>
          <w:rFonts w:asciiTheme="majorBidi" w:hAnsiTheme="majorBidi" w:cstheme="majorBidi"/>
          <w:sz w:val="18"/>
          <w:szCs w:val="18"/>
        </w:rPr>
        <w:t xml:space="preserve"> provides a commentary on </w:t>
      </w:r>
      <w:r w:rsidRPr="00FA600F">
        <w:rPr>
          <w:rFonts w:asciiTheme="majorBidi" w:hAnsiTheme="majorBidi" w:cstheme="majorBidi"/>
          <w:i/>
          <w:iCs/>
          <w:sz w:val="18"/>
          <w:szCs w:val="18"/>
        </w:rPr>
        <w:t>Al-Kāfī</w:t>
      </w:r>
      <w:r w:rsidRPr="00FA600F">
        <w:rPr>
          <w:rFonts w:asciiTheme="majorBidi" w:hAnsiTheme="majorBidi" w:cstheme="majorBidi"/>
          <w:sz w:val="18"/>
          <w:szCs w:val="18"/>
        </w:rPr>
        <w:t xml:space="preserve">, while </w:t>
      </w:r>
      <w:r w:rsidRPr="00FA600F">
        <w:rPr>
          <w:rFonts w:asciiTheme="majorBidi" w:hAnsiTheme="majorBidi" w:cstheme="majorBidi"/>
          <w:i/>
          <w:iCs/>
          <w:sz w:val="18"/>
          <w:szCs w:val="18"/>
        </w:rPr>
        <w:t>Ḥilyat al-Muttaqīn</w:t>
      </w:r>
      <w:r w:rsidRPr="00FA600F">
        <w:rPr>
          <w:rFonts w:asciiTheme="majorBidi" w:hAnsiTheme="majorBidi" w:cstheme="majorBidi"/>
          <w:sz w:val="18"/>
          <w:szCs w:val="18"/>
        </w:rPr>
        <w:t xml:space="preserve"> explores Islamic eth</w:t>
      </w:r>
      <w:r>
        <w:rPr>
          <w:rFonts w:asciiTheme="majorBidi" w:hAnsiTheme="majorBidi" w:cstheme="majorBidi"/>
          <w:sz w:val="18"/>
          <w:szCs w:val="18"/>
        </w:rPr>
        <w:t>ics. A student of Mullā Ṣadrā, A</w:t>
      </w:r>
      <w:r w:rsidRPr="00FA600F">
        <w:rPr>
          <w:rFonts w:asciiTheme="majorBidi" w:hAnsiTheme="majorBidi" w:cstheme="majorBidi"/>
          <w:sz w:val="18"/>
          <w:szCs w:val="18"/>
        </w:rPr>
        <w:t>l-Majlisī’s works solidified Twelver Shīʿī scholarship in a period of Safavid consolidation and Sunni-Shīʿī polemics.</w:t>
      </w:r>
    </w:p>
  </w:footnote>
  <w:footnote w:id="16">
    <w:p w:rsidR="004A0722" w:rsidP="00E6533D">
      <w:pPr>
        <w:pStyle w:val="FootnoteText"/>
        <w:jc w:val="both"/>
      </w:pPr>
      <w:r>
        <w:rPr>
          <w:rStyle w:val="FootnoteReference"/>
        </w:rPr>
        <w:footnoteRef/>
      </w:r>
      <w:r>
        <w:t xml:space="preserve"> </w:t>
      </w:r>
      <w:r w:rsidRPr="00FA600F">
        <w:rPr>
          <w:rFonts w:asciiTheme="majorBidi" w:hAnsiTheme="majorBidi" w:cstheme="majorBidi"/>
          <w:sz w:val="18"/>
          <w:szCs w:val="18"/>
        </w:rPr>
        <w:t>Abū al-ʿAbbās Aḥmad b. Muḥammad al-Ṭūsī (d. unknown), though less documented, contributed to early Sufi thought during the ʿAbbāsid period. His interactions with contemporaries like al-Junayd al-Baghdādī reflect the integration of Sufism into broader Islamic spiritual traditions.</w:t>
      </w:r>
    </w:p>
  </w:footnote>
  <w:footnote w:id="17">
    <w:p w:rsidR="004A0722" w:rsidP="00E6533D">
      <w:pPr>
        <w:pStyle w:val="FootnoteText"/>
        <w:jc w:val="both"/>
      </w:pPr>
      <w:r>
        <w:rPr>
          <w:rStyle w:val="FootnoteReference"/>
        </w:rPr>
        <w:footnoteRef/>
      </w:r>
      <w:r>
        <w:t xml:space="preserve"> </w:t>
      </w:r>
      <w:r w:rsidRPr="005D6859">
        <w:rPr>
          <w:rFonts w:asciiTheme="majorBidi" w:hAnsiTheme="majorBidi" w:cstheme="majorBidi"/>
          <w:sz w:val="18"/>
          <w:szCs w:val="18"/>
        </w:rPr>
        <w:t xml:space="preserve">Abū Saʿīd al-Aʿrābī (d. 341/952), a Sufi biographer and historian, authored </w:t>
      </w:r>
      <w:r w:rsidRPr="005D6859">
        <w:rPr>
          <w:rFonts w:asciiTheme="majorBidi" w:hAnsiTheme="majorBidi" w:cstheme="majorBidi"/>
          <w:i/>
          <w:iCs/>
          <w:sz w:val="18"/>
          <w:szCs w:val="18"/>
        </w:rPr>
        <w:t>Ṭabaqāt al-Ṣūfiyya</w:t>
      </w:r>
      <w:r w:rsidRPr="005D6859">
        <w:rPr>
          <w:rFonts w:asciiTheme="majorBidi" w:hAnsiTheme="majorBidi" w:cstheme="majorBidi"/>
          <w:sz w:val="18"/>
          <w:szCs w:val="18"/>
        </w:rPr>
        <w:t>, which remains a primary source for early Sufi history. A disciple of al-Junayd al-Baghdādī, Abū Saʿīd transmitted spiritual teachings to figures like Abū Naṣr al-Sarrāj. His work underscores Baghdad’s centrality in early Sufi intellectual life.</w:t>
      </w:r>
    </w:p>
  </w:footnote>
  <w:footnote w:id="18">
    <w:p w:rsidR="004A0722" w:rsidP="00E6533D">
      <w:pPr>
        <w:pStyle w:val="FootnoteText"/>
        <w:jc w:val="both"/>
      </w:pPr>
      <w:r>
        <w:rPr>
          <w:rStyle w:val="FootnoteReference"/>
        </w:rPr>
        <w:footnoteRef/>
      </w:r>
      <w:r>
        <w:t xml:space="preserve"> </w:t>
      </w:r>
      <w:r w:rsidRPr="005D6859">
        <w:rPr>
          <w:rFonts w:asciiTheme="majorBidi" w:hAnsiTheme="majorBidi" w:cstheme="majorBidi"/>
          <w:sz w:val="18"/>
          <w:szCs w:val="18"/>
        </w:rPr>
        <w:t>Abū Muḥammad al-Khuldī (d. 348/959), a Sufi ascetic of the ʿAbbāsid period, was a student of al-Junayd al-Baghdādī. Although his writings are not extant, his influence is evident in the transmission of early Sufi teachings.</w:t>
      </w:r>
    </w:p>
  </w:footnote>
  <w:footnote w:id="19">
    <w:p w:rsidR="004A0722" w:rsidP="00E6533D">
      <w:pPr>
        <w:pStyle w:val="FootnoteText"/>
        <w:jc w:val="both"/>
      </w:pPr>
      <w:r>
        <w:rPr>
          <w:rStyle w:val="FootnoteReference"/>
        </w:rPr>
        <w:footnoteRef/>
      </w:r>
      <w:r>
        <w:t xml:space="preserve"> </w:t>
      </w:r>
      <w:r w:rsidRPr="005D6859">
        <w:rPr>
          <w:rFonts w:asciiTheme="majorBidi" w:hAnsiTheme="majorBidi" w:cstheme="majorBidi"/>
          <w:sz w:val="18"/>
          <w:szCs w:val="18"/>
        </w:rPr>
        <w:t>Abū ʿAbd Allāh al-Rūdhbārī (d. 322/934), a mystic influenced by Dhū al-Nūn al-Miṣrī, was renowned for his eloquent spiritual discourses, preserved in later biographical works. He bridged Egyptian and Iraqi Sufi traditions, emphasizing divine love (</w:t>
      </w:r>
      <w:r w:rsidRPr="005D6859">
        <w:rPr>
          <w:rFonts w:asciiTheme="majorBidi" w:hAnsiTheme="majorBidi" w:cstheme="majorBidi"/>
          <w:i/>
          <w:iCs/>
          <w:sz w:val="18"/>
          <w:szCs w:val="18"/>
        </w:rPr>
        <w:t>maḥabba</w:t>
      </w:r>
      <w:r w:rsidRPr="005D6859">
        <w:rPr>
          <w:rFonts w:asciiTheme="majorBidi" w:hAnsiTheme="majorBidi" w:cstheme="majorBidi"/>
          <w:sz w:val="18"/>
          <w:szCs w:val="18"/>
        </w:rPr>
        <w:t>).</w:t>
      </w:r>
    </w:p>
  </w:footnote>
  <w:footnote w:id="20">
    <w:p w:rsidR="004A0722" w:rsidP="00E6533D">
      <w:pPr>
        <w:pStyle w:val="FootnoteText"/>
        <w:jc w:val="both"/>
      </w:pPr>
      <w:r>
        <w:rPr>
          <w:rStyle w:val="FootnoteReference"/>
        </w:rPr>
        <w:footnoteRef/>
      </w:r>
      <w:r>
        <w:t xml:space="preserve"> </w:t>
      </w:r>
      <w:r w:rsidRPr="005D6859">
        <w:rPr>
          <w:rFonts w:asciiTheme="majorBidi" w:hAnsiTheme="majorBidi" w:cstheme="majorBidi"/>
          <w:sz w:val="18"/>
          <w:szCs w:val="18"/>
        </w:rPr>
        <w:t xml:space="preserve">Abū al-Qāsim ʿAbd al-Karīm al-Qushayrī (d. 465/1072), an eminent Seljuk-era theologian and mystic, authored </w:t>
      </w:r>
      <w:r w:rsidRPr="005D6859">
        <w:rPr>
          <w:rFonts w:asciiTheme="majorBidi" w:hAnsiTheme="majorBidi" w:cstheme="majorBidi"/>
          <w:i/>
          <w:iCs/>
          <w:sz w:val="18"/>
          <w:szCs w:val="18"/>
        </w:rPr>
        <w:t>Al-Risāla al-Qushayriyya</w:t>
      </w:r>
      <w:r w:rsidRPr="005D6859">
        <w:rPr>
          <w:rFonts w:asciiTheme="majorBidi" w:hAnsiTheme="majorBidi" w:cstheme="majorBidi"/>
          <w:sz w:val="18"/>
          <w:szCs w:val="18"/>
        </w:rPr>
        <w:t>, a foundational exposition of Sufi doctrines. A student of Abū ʿAlī al-Daqqāq, he influenced scholars like Abū Ḥāmid al-Ghazālī. Al-Qushayrī’s work reflects a harmonization of Sunni orthodoxy and Sufi spirituality.</w:t>
      </w:r>
    </w:p>
  </w:footnote>
  <w:footnote w:id="21">
    <w:p w:rsidR="004A0722" w:rsidP="00E6533D">
      <w:pPr>
        <w:pStyle w:val="FootnoteText"/>
        <w:jc w:val="both"/>
      </w:pPr>
      <w:r>
        <w:rPr>
          <w:rStyle w:val="FootnoteReference"/>
        </w:rPr>
        <w:footnoteRef/>
      </w:r>
      <w:r>
        <w:t xml:space="preserve"> </w:t>
      </w:r>
      <w:r w:rsidRPr="005D6859">
        <w:rPr>
          <w:rFonts w:asciiTheme="majorBidi" w:hAnsiTheme="majorBidi" w:cstheme="majorBidi"/>
          <w:sz w:val="18"/>
          <w:szCs w:val="18"/>
        </w:rPr>
        <w:t xml:space="preserve">Abū ʿAbd al-Raḥmān al-Sulamī (d. 412/1021), a prominent Sufi scholar, compiled </w:t>
      </w:r>
      <w:r w:rsidRPr="005D6859">
        <w:rPr>
          <w:rFonts w:asciiTheme="majorBidi" w:hAnsiTheme="majorBidi" w:cstheme="majorBidi"/>
          <w:i/>
          <w:iCs/>
          <w:sz w:val="18"/>
          <w:szCs w:val="18"/>
        </w:rPr>
        <w:t>Ṭabaqāt al-Ṣūfiyya</w:t>
      </w:r>
      <w:r w:rsidRPr="005D6859">
        <w:rPr>
          <w:rFonts w:asciiTheme="majorBidi" w:hAnsiTheme="majorBidi" w:cstheme="majorBidi"/>
          <w:sz w:val="18"/>
          <w:szCs w:val="18"/>
        </w:rPr>
        <w:t xml:space="preserve"> and </w:t>
      </w:r>
      <w:r w:rsidRPr="005D6859">
        <w:rPr>
          <w:rFonts w:asciiTheme="majorBidi" w:hAnsiTheme="majorBidi" w:cstheme="majorBidi"/>
          <w:i/>
          <w:iCs/>
          <w:sz w:val="18"/>
          <w:szCs w:val="18"/>
        </w:rPr>
        <w:t>Ḥaqāʾiq al-Tafsīr</w:t>
      </w:r>
      <w:r w:rsidRPr="005D6859">
        <w:rPr>
          <w:rFonts w:asciiTheme="majorBidi" w:hAnsiTheme="majorBidi" w:cstheme="majorBidi"/>
          <w:sz w:val="18"/>
          <w:szCs w:val="18"/>
        </w:rPr>
        <w:t>, integrating Sufi perspectives into Qurʾānic exegesis. A disciple of Abū al-Qāsim al-Naṣrābādhī, he influenced subsequent Sufi scholarship, including al-Ghazālī.</w:t>
      </w:r>
    </w:p>
  </w:footnote>
  <w:footnote w:id="22">
    <w:p w:rsidR="004A0722" w:rsidRPr="00B01093" w:rsidP="00E6533D">
      <w:pPr>
        <w:jc w:val="both"/>
        <w:rPr>
          <w:rFonts w:asciiTheme="majorBidi" w:hAnsiTheme="majorBidi" w:cstheme="majorBidi"/>
          <w:sz w:val="20"/>
          <w:szCs w:val="20"/>
        </w:rPr>
      </w:pPr>
      <w:r>
        <w:rPr>
          <w:rStyle w:val="FootnoteReference"/>
        </w:rPr>
        <w:footnoteRef/>
      </w:r>
      <w:r>
        <w:t xml:space="preserve"> </w:t>
      </w:r>
      <w:r w:rsidRPr="005D6859">
        <w:rPr>
          <w:rFonts w:asciiTheme="majorBidi" w:hAnsiTheme="majorBidi" w:cstheme="majorBidi"/>
          <w:sz w:val="18"/>
          <w:szCs w:val="18"/>
        </w:rPr>
        <w:t xml:space="preserve">Ibn al-Ḥājj (d. 737/1336), Muḥammad b. Muḥammad b. Muḥammad b. ʿAlī b. Yūsuf al-ʿAbdarī al-Fāsī al-Tilimsānī, a Mālikī jurist originally from Tilimsān, later based in Fez and Egypt. His most famous work, </w:t>
      </w:r>
      <w:r w:rsidRPr="005D6859">
        <w:rPr>
          <w:rFonts w:asciiTheme="majorBidi" w:hAnsiTheme="majorBidi" w:cstheme="majorBidi"/>
          <w:i/>
          <w:iCs/>
          <w:sz w:val="18"/>
          <w:szCs w:val="18"/>
        </w:rPr>
        <w:t>al-Madkhal</w:t>
      </w:r>
      <w:r w:rsidRPr="005D6859">
        <w:rPr>
          <w:rFonts w:asciiTheme="majorBidi" w:hAnsiTheme="majorBidi" w:cstheme="majorBidi"/>
          <w:sz w:val="18"/>
          <w:szCs w:val="18"/>
        </w:rPr>
        <w:t xml:space="preserve">, is a detailed treatise on acts of worship, warning against bidʿa (innovation) and urging adherence to the Sunnah. He also wrote </w:t>
      </w:r>
      <w:r w:rsidRPr="005D6859">
        <w:rPr>
          <w:rFonts w:asciiTheme="majorBidi" w:hAnsiTheme="majorBidi" w:cstheme="majorBidi"/>
          <w:i/>
          <w:iCs/>
          <w:sz w:val="18"/>
          <w:szCs w:val="18"/>
        </w:rPr>
        <w:t>al-Tashawwuf ilā rijāl al-taṣawwuf</w:t>
      </w:r>
      <w:r w:rsidRPr="005D6859">
        <w:rPr>
          <w:rFonts w:asciiTheme="majorBidi" w:hAnsiTheme="majorBidi" w:cstheme="majorBidi"/>
          <w:sz w:val="18"/>
          <w:szCs w:val="18"/>
        </w:rPr>
        <w:t>, a work on Sufi saints. His notable teachers included Ibn Abī al-Ḥasan al-Ṣughayyir and Abū al-Qāsim al-Ḥumaydī. He passed away in Cairo in 737/1336.</w:t>
      </w:r>
    </w:p>
    <w:p w:rsidR="004A0722" w:rsidP="00E6533D">
      <w:pPr>
        <w:pStyle w:val="FootnoteText"/>
      </w:pPr>
    </w:p>
  </w:footnote>
  <w:footnote w:id="23">
    <w:p w:rsidR="004A0722" w:rsidP="00E6533D">
      <w:pPr>
        <w:pStyle w:val="FootnoteText"/>
        <w:jc w:val="both"/>
      </w:pPr>
      <w:r>
        <w:rPr>
          <w:rStyle w:val="FootnoteReference"/>
        </w:rPr>
        <w:footnoteRef/>
      </w:r>
      <w:r>
        <w:t xml:space="preserve"> </w:t>
      </w:r>
      <w:r w:rsidRPr="005D6859">
        <w:rPr>
          <w:rFonts w:asciiTheme="majorBidi" w:hAnsiTheme="majorBidi" w:cstheme="majorBidi"/>
          <w:sz w:val="18"/>
          <w:szCs w:val="18"/>
        </w:rPr>
        <w:t>Al-Fuḍayl ibn ʿIyaḍ (d. 187/803), originally a highway robber turned devout ascetic, became one of the most celebrated figures of early Sufism. Known for his intense spirituality and strict adherence to ascetic principles, al-Fuḍayl’s transformation occurred after a life-altering encounter while in the midst of committing a robbery. He abandoned his former ways and devoted himself to a life of repentance (</w:t>
      </w:r>
      <w:r w:rsidRPr="005D6859">
        <w:rPr>
          <w:rFonts w:asciiTheme="majorBidi" w:hAnsiTheme="majorBidi" w:cstheme="majorBidi"/>
          <w:i/>
          <w:iCs/>
          <w:sz w:val="18"/>
          <w:szCs w:val="18"/>
        </w:rPr>
        <w:t>tawba</w:t>
      </w:r>
      <w:r w:rsidRPr="005D6859">
        <w:rPr>
          <w:rFonts w:asciiTheme="majorBidi" w:hAnsiTheme="majorBidi" w:cstheme="majorBidi"/>
          <w:sz w:val="18"/>
          <w:szCs w:val="18"/>
        </w:rPr>
        <w:t>) and worship, establishing himself as a sage in the cities of Merv and Mecca. His teachings emphasize sincerity (</w:t>
      </w:r>
      <w:r w:rsidRPr="005D6859">
        <w:rPr>
          <w:rFonts w:asciiTheme="majorBidi" w:hAnsiTheme="majorBidi" w:cstheme="majorBidi"/>
          <w:i/>
          <w:iCs/>
          <w:sz w:val="18"/>
          <w:szCs w:val="18"/>
        </w:rPr>
        <w:t>ikhlāṣ</w:t>
      </w:r>
      <w:r w:rsidRPr="005D6859">
        <w:rPr>
          <w:rFonts w:asciiTheme="majorBidi" w:hAnsiTheme="majorBidi" w:cstheme="majorBidi"/>
          <w:sz w:val="18"/>
          <w:szCs w:val="18"/>
        </w:rPr>
        <w:t>) and the rejection of worldly attachments, aligning with the central tenets of early Islamic asceticism. His most notable students included figures such as ʿAbd Allāh ibn al-Mubārak and Bishr al-Ḥāfī, both of whom perpetuated his ascetic ideals. Al-Fuḍayl’s contemporaries included Sufyān al-Thawrī, with whom he shared strong views on renunciation, and Ibn ʿUyayna. His influence extended well into later Sufi thought, especially through his memorable sayings that reflect his disdain for hypocrisy and pretense in religious practice.</w:t>
      </w:r>
    </w:p>
  </w:footnote>
  <w:footnote w:id="24">
    <w:p w:rsidR="004A0722" w:rsidRPr="00593DBF" w:rsidP="00E6533D">
      <w:pPr>
        <w:pStyle w:val="FootnoteText"/>
        <w:jc w:val="both"/>
        <w:rPr>
          <w:rFonts w:asciiTheme="majorBidi" w:hAnsiTheme="majorBidi" w:cstheme="majorBidi"/>
          <w:sz w:val="18"/>
          <w:szCs w:val="18"/>
        </w:rPr>
      </w:pPr>
      <w:r>
        <w:rPr>
          <w:rStyle w:val="FootnoteReference"/>
        </w:rPr>
        <w:footnoteRef/>
      </w:r>
      <w:r>
        <w:t xml:space="preserve"> </w:t>
      </w:r>
      <w:r w:rsidRPr="007E54E0">
        <w:rPr>
          <w:rFonts w:asciiTheme="majorBidi" w:hAnsiTheme="majorBidi" w:cstheme="majorBidi"/>
          <w:sz w:val="18"/>
          <w:szCs w:val="18"/>
        </w:rPr>
        <w:t>Abū Ismāʿīl al-Harawī (d. 1089), a renowned Sufi mystic and theologian from Herat, was known for his staunch traditionalism and opposition to rationalist interpretations. His m</w:t>
      </w:r>
      <w:r>
        <w:rPr>
          <w:rFonts w:asciiTheme="majorBidi" w:hAnsiTheme="majorBidi" w:cstheme="majorBidi"/>
          <w:sz w:val="18"/>
          <w:szCs w:val="18"/>
        </w:rPr>
        <w:t>agnum opus, Manāzil al-Sāʾirīn</w:t>
      </w:r>
      <w:r w:rsidRPr="007E54E0">
        <w:rPr>
          <w:rFonts w:asciiTheme="majorBidi" w:hAnsiTheme="majorBidi" w:cstheme="majorBidi"/>
          <w:sz w:val="18"/>
          <w:szCs w:val="18"/>
        </w:rPr>
        <w:t>, is a seminal work outlining the spiritual journey (maqāmāt) and influenced later figures like Ibn al-Qayyim. He also authore</w:t>
      </w:r>
      <w:r>
        <w:rPr>
          <w:rFonts w:asciiTheme="majorBidi" w:hAnsiTheme="majorBidi" w:cstheme="majorBidi"/>
          <w:sz w:val="18"/>
          <w:szCs w:val="18"/>
        </w:rPr>
        <w:t>d Ṣad Maydān</w:t>
      </w:r>
      <w:r w:rsidRPr="007E54E0">
        <w:rPr>
          <w:rFonts w:asciiTheme="majorBidi" w:hAnsiTheme="majorBidi" w:cstheme="majorBidi"/>
          <w:sz w:val="18"/>
          <w:szCs w:val="18"/>
        </w:rPr>
        <w:t xml:space="preserve">, a Persian </w:t>
      </w:r>
      <w:r>
        <w:rPr>
          <w:rFonts w:asciiTheme="majorBidi" w:hAnsiTheme="majorBidi" w:cstheme="majorBidi"/>
          <w:sz w:val="18"/>
          <w:szCs w:val="18"/>
        </w:rPr>
        <w:t xml:space="preserve">collection of mystical sayings. </w:t>
      </w:r>
      <w:r w:rsidRPr="007E54E0">
        <w:rPr>
          <w:rFonts w:asciiTheme="majorBidi" w:hAnsiTheme="majorBidi" w:cstheme="majorBidi"/>
          <w:sz w:val="18"/>
          <w:szCs w:val="18"/>
        </w:rPr>
        <w:t>Critical of philosophical approaches, including those of contemporaries like al-Ghazālī, al-Harawī combined deep devotion with Sunni orthodoxy, leaving a profound impact on Sufi thought and Islamic spirituality.</w:t>
      </w:r>
    </w:p>
  </w:footnote>
  <w:footnote w:id="25">
    <w:p w:rsidR="004A0722" w:rsidP="00E6533D">
      <w:pPr>
        <w:pStyle w:val="FootnoteText"/>
        <w:jc w:val="both"/>
      </w:pPr>
      <w:r>
        <w:rPr>
          <w:rStyle w:val="FootnoteReference"/>
        </w:rPr>
        <w:footnoteRef/>
      </w:r>
      <w:r>
        <w:t xml:space="preserve"> </w:t>
      </w:r>
      <w:r w:rsidRPr="005D6859">
        <w:rPr>
          <w:rFonts w:asciiTheme="majorBidi" w:hAnsiTheme="majorBidi" w:cstheme="majorBidi"/>
          <w:sz w:val="18"/>
          <w:szCs w:val="18"/>
        </w:rPr>
        <w:t xml:space="preserve">One can find this in the books of Ibn ʿArabī and more than that al-Shaykh Muḥammad al-Ḥāfiẓ al-Tijānī’s </w:t>
      </w:r>
      <w:r w:rsidRPr="005D6859">
        <w:rPr>
          <w:rFonts w:asciiTheme="majorBidi" w:hAnsiTheme="majorBidi" w:cstheme="majorBidi"/>
          <w:i/>
          <w:iCs/>
          <w:sz w:val="18"/>
          <w:szCs w:val="18"/>
        </w:rPr>
        <w:t>Takhrīj</w:t>
      </w:r>
      <w:r w:rsidRPr="005D6859">
        <w:rPr>
          <w:rFonts w:asciiTheme="majorBidi" w:hAnsiTheme="majorBidi" w:cstheme="majorBidi"/>
          <w:sz w:val="18"/>
          <w:szCs w:val="18"/>
        </w:rPr>
        <w:t xml:space="preserve"> of the </w:t>
      </w:r>
      <w:r w:rsidRPr="005D6859">
        <w:rPr>
          <w:rFonts w:asciiTheme="majorBidi" w:hAnsiTheme="majorBidi" w:cstheme="majorBidi"/>
          <w:i/>
          <w:iCs/>
          <w:sz w:val="18"/>
          <w:szCs w:val="18"/>
        </w:rPr>
        <w:t>Aḥādīth</w:t>
      </w:r>
      <w:r w:rsidRPr="005D6859">
        <w:rPr>
          <w:rFonts w:asciiTheme="majorBidi" w:hAnsiTheme="majorBidi" w:cstheme="majorBidi"/>
          <w:sz w:val="18"/>
          <w:szCs w:val="18"/>
        </w:rPr>
        <w:t xml:space="preserve"> of </w:t>
      </w:r>
      <w:r w:rsidRPr="005D6859">
        <w:rPr>
          <w:rFonts w:asciiTheme="majorBidi" w:hAnsiTheme="majorBidi" w:cstheme="majorBidi"/>
          <w:i/>
          <w:sz w:val="18"/>
          <w:szCs w:val="18"/>
        </w:rPr>
        <w:t>Jawāhir al-Maʿānī.</w:t>
      </w:r>
    </w:p>
  </w:footnote>
  <w:footnote w:id="26">
    <w:p w:rsidR="004A0722" w:rsidP="00E6533D">
      <w:pPr>
        <w:pStyle w:val="FootnoteText"/>
        <w:jc w:val="both"/>
      </w:pPr>
      <w:r>
        <w:rPr>
          <w:rStyle w:val="FootnoteReference"/>
        </w:rPr>
        <w:footnoteRef/>
      </w:r>
      <w:r>
        <w:t xml:space="preserve"> </w:t>
      </w:r>
      <w:r w:rsidRPr="005D6859">
        <w:rPr>
          <w:rFonts w:asciiTheme="majorBidi" w:hAnsiTheme="majorBidi" w:cstheme="majorBidi"/>
          <w:sz w:val="18"/>
          <w:szCs w:val="18"/>
        </w:rPr>
        <w:t xml:space="preserve">Abū Yazīd al-Basṭāmī (d. 261/875), Ṭayfūr b. ʿĪsā b. Shurayk al-Basṭāmī, an early Persian mystic, known for his emphasis on annihilation of the self (fanāʾ) and union with God in Sufism. Though he did not write any books, his sayings were recorded by later Sufi writers in works such as </w:t>
      </w:r>
      <w:r w:rsidRPr="005D6859">
        <w:rPr>
          <w:rFonts w:asciiTheme="majorBidi" w:hAnsiTheme="majorBidi" w:cstheme="majorBidi"/>
          <w:i/>
          <w:iCs/>
          <w:sz w:val="18"/>
          <w:szCs w:val="18"/>
        </w:rPr>
        <w:t>Ṭabaqāt al-Ṣūfiyya</w:t>
      </w:r>
      <w:r w:rsidRPr="005D6859">
        <w:rPr>
          <w:rFonts w:asciiTheme="majorBidi" w:hAnsiTheme="majorBidi" w:cstheme="majorBidi"/>
          <w:sz w:val="18"/>
          <w:szCs w:val="18"/>
        </w:rPr>
        <w:t xml:space="preserve"> by al-Sulamī. He is said to have been influenced by Jaʿfar al-Ṣādiq and the ascetic Ibrāhīm b. Adham. He died in Bisṭām in 261/875.</w:t>
      </w:r>
    </w:p>
  </w:footnote>
  <w:footnote w:id="27">
    <w:p w:rsidR="004A0722" w:rsidP="00E6533D">
      <w:pPr>
        <w:pStyle w:val="FootnoteText"/>
        <w:jc w:val="both"/>
      </w:pPr>
      <w:r>
        <w:rPr>
          <w:rStyle w:val="FootnoteReference"/>
        </w:rPr>
        <w:footnoteRef/>
      </w:r>
      <w:r>
        <w:t xml:space="preserve"> </w:t>
      </w:r>
      <w:r w:rsidRPr="005D6859">
        <w:rPr>
          <w:rFonts w:asciiTheme="majorBidi" w:hAnsiTheme="majorBidi" w:cstheme="majorBidi"/>
          <w:sz w:val="18"/>
          <w:szCs w:val="18"/>
        </w:rPr>
        <w:t xml:space="preserve">Al-Qāḍī ʿIyāḍ (d. 544/1149), ʿIyāḍ b. Mūsā b. ʿIyāḍ al-Yaḥṣubī, a distinguished Mālikī jurist and ḥadīth scholar from Ceuta. He is best known for his celebrated work </w:t>
      </w:r>
      <w:r w:rsidRPr="005D6859">
        <w:rPr>
          <w:rFonts w:asciiTheme="majorBidi" w:hAnsiTheme="majorBidi" w:cstheme="majorBidi"/>
          <w:i/>
          <w:iCs/>
          <w:sz w:val="18"/>
          <w:szCs w:val="18"/>
        </w:rPr>
        <w:t>al-Shifāʾ bi-taʿrīf ḥuqūq al-Muṣṭafā</w:t>
      </w:r>
      <w:r w:rsidRPr="005D6859">
        <w:rPr>
          <w:rFonts w:asciiTheme="majorBidi" w:hAnsiTheme="majorBidi" w:cstheme="majorBidi"/>
          <w:sz w:val="18"/>
          <w:szCs w:val="18"/>
        </w:rPr>
        <w:t xml:space="preserve">, a biography of the Prophet Muḥammad that discusses his virtues and legal standing in Islam. Another significant contribution is </w:t>
      </w:r>
      <w:r w:rsidRPr="005D6859">
        <w:rPr>
          <w:rFonts w:asciiTheme="majorBidi" w:hAnsiTheme="majorBidi" w:cstheme="majorBidi"/>
          <w:i/>
          <w:iCs/>
          <w:sz w:val="18"/>
          <w:szCs w:val="18"/>
        </w:rPr>
        <w:t>Tartīb al-Madārik</w:t>
      </w:r>
      <w:r w:rsidRPr="005D6859">
        <w:rPr>
          <w:rFonts w:asciiTheme="majorBidi" w:hAnsiTheme="majorBidi" w:cstheme="majorBidi"/>
          <w:sz w:val="18"/>
          <w:szCs w:val="18"/>
        </w:rPr>
        <w:t>, a biographical dictionary of Mālikī scholars. His teachers included Abū ʿAbd Allāh al-Mazārī and Abū al-Walīd Ibn Rushd (the grandfather of the famous philosopher). He died in Marrakesh in 544/1149.</w:t>
      </w:r>
    </w:p>
  </w:footnote>
  <w:footnote w:id="28">
    <w:p w:rsidR="004A0722" w:rsidP="00E6533D">
      <w:pPr>
        <w:pStyle w:val="FootnoteText"/>
        <w:jc w:val="both"/>
      </w:pPr>
      <w:r>
        <w:rPr>
          <w:rStyle w:val="FootnoteReference"/>
        </w:rPr>
        <w:footnoteRef/>
      </w:r>
      <w:r>
        <w:t xml:space="preserve"> </w:t>
      </w:r>
      <w:r w:rsidRPr="005D6859">
        <w:rPr>
          <w:rFonts w:asciiTheme="majorBidi" w:hAnsiTheme="majorBidi" w:cstheme="majorBidi"/>
          <w:sz w:val="18"/>
          <w:szCs w:val="18"/>
        </w:rPr>
        <w:t xml:space="preserve">Sahl al-Tustarī (d. 283/896), Sahl b. ʿAbd Allāh al-Tustarī, an early Sufi mystic and ascetic from Tustar (in present-day Iran). He is celebrated for his contributions to early Sufism, emphasizing spiritual insight and personal experience of the Divine. His sayings and teachings, which focus on the concepts of divine love and mystical union, are recorded in various Sufi collections such as </w:t>
      </w:r>
      <w:r w:rsidRPr="005D6859">
        <w:rPr>
          <w:rFonts w:asciiTheme="majorBidi" w:hAnsiTheme="majorBidi" w:cstheme="majorBidi"/>
          <w:i/>
          <w:iCs/>
          <w:sz w:val="18"/>
          <w:szCs w:val="18"/>
        </w:rPr>
        <w:t>al-Tabaqāt al-Kubrā</w:t>
      </w:r>
      <w:r w:rsidRPr="005D6859">
        <w:rPr>
          <w:rFonts w:asciiTheme="majorBidi" w:hAnsiTheme="majorBidi" w:cstheme="majorBidi"/>
          <w:sz w:val="18"/>
          <w:szCs w:val="18"/>
        </w:rPr>
        <w:t xml:space="preserve"> by al-Sulamī. He was a contemporary of other prominent Sufi figures and is known for his influence on later Sufi thought. He died in Tustar in 283/896.</w:t>
      </w:r>
    </w:p>
  </w:footnote>
  <w:footnote w:id="29">
    <w:p w:rsidR="004A0722" w:rsidRPr="00511950" w:rsidP="00E6533D">
      <w:pPr>
        <w:pStyle w:val="FootnoteText"/>
        <w:rPr>
          <w:sz w:val="18"/>
          <w:szCs w:val="18"/>
        </w:rPr>
      </w:pPr>
      <w:r w:rsidRPr="00511950">
        <w:rPr>
          <w:rStyle w:val="FootnoteReference"/>
          <w:sz w:val="18"/>
          <w:szCs w:val="18"/>
        </w:rPr>
        <w:footnoteRef/>
      </w:r>
      <w:r w:rsidRPr="00511950">
        <w:rPr>
          <w:sz w:val="18"/>
          <w:szCs w:val="18"/>
        </w:rPr>
        <w:t xml:space="preserve"> </w:t>
      </w:r>
      <w:r>
        <w:rPr>
          <w:sz w:val="18"/>
          <w:szCs w:val="18"/>
        </w:rPr>
        <w:t>Al-Bukh</w:t>
      </w:r>
      <w:r>
        <w:rPr>
          <w:rFonts w:cstheme="minorBidi"/>
          <w:sz w:val="18"/>
          <w:szCs w:val="18"/>
          <w:lang w:val="en-US"/>
        </w:rPr>
        <w:t>ā</w:t>
      </w:r>
      <w:r w:rsidRPr="00511950">
        <w:rPr>
          <w:sz w:val="18"/>
          <w:szCs w:val="18"/>
        </w:rPr>
        <w:t>ri, Hadith no. 7405</w:t>
      </w:r>
    </w:p>
  </w:footnote>
  <w:footnote w:id="30">
    <w:p w:rsidR="004A0722" w:rsidP="00E6533D">
      <w:pPr>
        <w:pStyle w:val="FootnoteText"/>
        <w:jc w:val="both"/>
      </w:pPr>
      <w:r>
        <w:rPr>
          <w:rStyle w:val="FootnoteReference"/>
        </w:rPr>
        <w:footnoteRef/>
      </w:r>
      <w:r>
        <w:t xml:space="preserve"> </w:t>
      </w:r>
      <w:r w:rsidRPr="005D6859">
        <w:rPr>
          <w:rFonts w:asciiTheme="majorBidi" w:hAnsiTheme="majorBidi" w:cstheme="majorBidi"/>
          <w:sz w:val="18"/>
          <w:szCs w:val="18"/>
        </w:rPr>
        <w:t xml:space="preserve">Abū Ṭālib al-Makkī (d. </w:t>
      </w:r>
      <w:r>
        <w:rPr>
          <w:rFonts w:asciiTheme="majorBidi" w:hAnsiTheme="majorBidi" w:cstheme="majorBidi"/>
          <w:sz w:val="18"/>
          <w:szCs w:val="18"/>
        </w:rPr>
        <w:t xml:space="preserve">386/996), ʿAbd Allāh b. ʿAlī b. </w:t>
      </w:r>
      <w:r w:rsidRPr="005D6859">
        <w:rPr>
          <w:rFonts w:asciiTheme="majorBidi" w:hAnsiTheme="majorBidi" w:cstheme="majorBidi"/>
          <w:sz w:val="18"/>
          <w:szCs w:val="18"/>
        </w:rPr>
        <w:t xml:space="preserve">ʿUmar al-Makkī, a prominent early Sufi scholar from Mecca. He is best known for his influential work </w:t>
      </w:r>
      <w:r w:rsidRPr="005D6859">
        <w:rPr>
          <w:rFonts w:asciiTheme="majorBidi" w:hAnsiTheme="majorBidi" w:cstheme="majorBidi"/>
          <w:i/>
          <w:iCs/>
          <w:sz w:val="18"/>
          <w:szCs w:val="18"/>
        </w:rPr>
        <w:t>Qūt al-Qulūb</w:t>
      </w:r>
      <w:r w:rsidRPr="005D6859">
        <w:rPr>
          <w:rFonts w:asciiTheme="majorBidi" w:hAnsiTheme="majorBidi" w:cstheme="majorBidi"/>
          <w:sz w:val="18"/>
          <w:szCs w:val="18"/>
        </w:rPr>
        <w:t xml:space="preserve"> (The Nourishment of the Hearts), which outlines the stages of Sufi spiritual development and ethics. His writings contributed significantly to the development of Sufi thought and practice. He was a student of notable scholars like al-Ḥasan al-Baṣrī and ʿAbd Allāh b. al-Mubārak. He passed away in 386/996 in Mecca.</w:t>
      </w:r>
    </w:p>
  </w:footnote>
  <w:footnote w:id="31">
    <w:p w:rsidR="004A0722" w:rsidP="00E6533D">
      <w:pPr>
        <w:pStyle w:val="FootnoteText"/>
        <w:jc w:val="both"/>
      </w:pPr>
      <w:r>
        <w:rPr>
          <w:rStyle w:val="FootnoteReference"/>
        </w:rPr>
        <w:footnoteRef/>
      </w:r>
      <w:r>
        <w:t xml:space="preserve"> </w:t>
      </w:r>
      <w:r w:rsidRPr="005D6859">
        <w:rPr>
          <w:rFonts w:asciiTheme="majorBidi" w:hAnsiTheme="majorBidi" w:cstheme="majorBidi"/>
          <w:sz w:val="18"/>
          <w:szCs w:val="18"/>
        </w:rPr>
        <w:t xml:space="preserve">Al-Juwaynī (d. 478/1085), Abū al-Maʿālī ʿAbd al-Malik b. ʿAbd Allāh al-Juwaynī, a prominent Shāfiʿī jurist and theologian from Nishapur. He is renowned for his contributions to Islamic jurisprudence and theology, with his most famous work being </w:t>
      </w:r>
      <w:r w:rsidRPr="005D6859">
        <w:rPr>
          <w:rFonts w:asciiTheme="majorBidi" w:hAnsiTheme="majorBidi" w:cstheme="majorBidi"/>
          <w:i/>
          <w:iCs/>
          <w:sz w:val="18"/>
          <w:szCs w:val="18"/>
        </w:rPr>
        <w:t>al-Shāmil</w:t>
      </w:r>
      <w:r w:rsidRPr="005D6859">
        <w:rPr>
          <w:rFonts w:asciiTheme="majorBidi" w:hAnsiTheme="majorBidi" w:cstheme="majorBidi"/>
          <w:sz w:val="18"/>
          <w:szCs w:val="18"/>
        </w:rPr>
        <w:t xml:space="preserve"> (The Comprehensive), a detailed exposition of Shāfiʿī fiqh. Another significant work is </w:t>
      </w:r>
      <w:r w:rsidRPr="005D6859">
        <w:rPr>
          <w:rFonts w:asciiTheme="majorBidi" w:hAnsiTheme="majorBidi" w:cstheme="majorBidi"/>
          <w:i/>
          <w:iCs/>
          <w:sz w:val="18"/>
          <w:szCs w:val="18"/>
        </w:rPr>
        <w:t>Kitāb al-Irshād</w:t>
      </w:r>
      <w:r w:rsidRPr="005D6859">
        <w:rPr>
          <w:rFonts w:asciiTheme="majorBidi" w:hAnsiTheme="majorBidi" w:cstheme="majorBidi"/>
          <w:sz w:val="18"/>
          <w:szCs w:val="18"/>
        </w:rPr>
        <w:t xml:space="preserve"> (The Book of Guidance), which deals with Islamic beliefs and philosophical issues. He was a teacher of al-Ghazālī. He died in Nishapur in 478/1085</w:t>
      </w:r>
      <w:r w:rsidRPr="00B01093">
        <w:rPr>
          <w:rFonts w:asciiTheme="majorBidi" w:hAnsiTheme="majorBidi" w:cstheme="majorBidi"/>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0722" w:rsidRPr="00A16FF1" w:rsidP="00694E0C">
    <w:pPr>
      <w:pStyle w:val="Header"/>
      <w:rPr>
        <w:rFonts w:asciiTheme="majorBidi" w:hAnsiTheme="majorBidi" w:cstheme="majorBidi"/>
        <w:sz w:val="20"/>
        <w:szCs w:val="20"/>
      </w:rPr>
    </w:pPr>
    <w:r>
      <w:rPr>
        <w:rFonts w:asciiTheme="majorBidi" w:hAnsiTheme="majorBidi" w:cstheme="majorBidi"/>
        <w:noProof/>
        <w:sz w:val="18"/>
        <w:szCs w:val="18"/>
        <w:lang w:val="en-US"/>
      </w:rPr>
      <w:pict>
        <v:shapetype id="_x0000_t202" coordsize="21600,21600" o:spt="202" path="m,l,21600r21600,l21600,xe">
          <v:stroke joinstyle="miter"/>
          <v:path gradientshapeok="t" o:connecttype="rect"/>
        </v:shapetype>
        <v:shape id="_x0000_s2049" type="#_x0000_t202" style="width:38.1pt;height:22.75pt;margin-top:-4.05pt;margin-left:4.25pt;position:absolute;z-index:251658240" stroked="f">
          <v:textbox>
            <w:txbxContent>
              <w:p w:rsidR="006D5E56" w:rsidRPr="00CD7D70" w:rsidP="006D5E56">
                <w:pPr>
                  <w:jc w:val="center"/>
                  <w:rPr>
                    <w:rFonts w:asciiTheme="majorBidi" w:hAnsiTheme="majorBidi" w:cstheme="majorBidi"/>
                    <w:color w:val="7F7F7F" w:themeColor="text1" w:themeTint="80"/>
                    <w:sz w:val="18"/>
                    <w:szCs w:val="18"/>
                    <w:lang w:val="en-US"/>
                  </w:rPr>
                </w:pPr>
                <w:r>
                  <w:rPr>
                    <w:rFonts w:asciiTheme="majorBidi" w:hAnsiTheme="majorBidi" w:cstheme="majorBidi"/>
                    <w:color w:val="7F7F7F" w:themeColor="text1" w:themeTint="80"/>
                    <w:sz w:val="18"/>
                    <w:szCs w:val="18"/>
                    <w:lang w:val="en-US"/>
                  </w:rPr>
                  <w:t>5</w:t>
                </w:r>
              </w:p>
            </w:txbxContent>
          </v:textbox>
        </v:shape>
      </w:pict>
    </w:r>
    <w:r w:rsidRPr="00A16FF1" w:rsidR="004A0722">
      <w:rPr>
        <w:rFonts w:asciiTheme="majorBidi" w:hAnsiTheme="majorBidi" w:cstheme="majorBidi"/>
        <w:sz w:val="18"/>
        <w:szCs w:val="18"/>
      </w:rPr>
      <w:t xml:space="preserve">                                                                           Islamic Insight Vol. </w:t>
    </w:r>
    <w:r w:rsidR="004A0722">
      <w:rPr>
        <w:rFonts w:asciiTheme="majorBidi" w:hAnsiTheme="majorBidi" w:cstheme="majorBidi"/>
        <w:sz w:val="18"/>
        <w:szCs w:val="18"/>
      </w:rPr>
      <w:t>7, No</w:t>
    </w:r>
    <w:r w:rsidRPr="00A16FF1" w:rsidR="004A0722">
      <w:rPr>
        <w:rFonts w:asciiTheme="majorBidi" w:hAnsiTheme="majorBidi" w:cstheme="majorBidi"/>
        <w:sz w:val="18"/>
        <w:szCs w:val="18"/>
      </w:rPr>
      <w:t xml:space="preserve">. </w:t>
    </w:r>
    <w:r w:rsidR="004A0722">
      <w:rPr>
        <w:rFonts w:asciiTheme="majorBidi" w:hAnsiTheme="majorBidi" w:cstheme="majorBidi"/>
        <w:sz w:val="18"/>
        <w:szCs w:val="18"/>
      </w:rPr>
      <w:t xml:space="preserve">2, </w:t>
    </w:r>
    <w:r w:rsidRPr="00A16FF1" w:rsidR="004A0722">
      <w:rPr>
        <w:rFonts w:asciiTheme="majorBidi" w:hAnsiTheme="majorBidi" w:cstheme="majorBidi"/>
        <w:sz w:val="18"/>
        <w:szCs w:val="18"/>
      </w:rPr>
      <w:t>2024</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0722" w:rsidRPr="00F1463E" w:rsidP="00BC7DB5">
    <w:pPr>
      <w:pStyle w:val="Header"/>
      <w:rPr>
        <w:rFonts w:asciiTheme="majorHAnsi" w:hAnsiTheme="majorHAnsi"/>
        <w:sz w:val="18"/>
        <w:szCs w:val="18"/>
        <w:shd w:val="clear" w:color="auto" w:fill="FFFFFF"/>
      </w:rPr>
    </w:pPr>
    <w:r w:rsidRPr="00BC7DB5">
      <w:rPr>
        <w:rFonts w:ascii="Times New Roman" w:eastAsia="Times New Roman" w:hAnsi="Times New Roman" w:cs="Times New Roman"/>
        <w:noProof/>
        <w:spacing w:val="5"/>
        <w:kern w:val="28"/>
        <w:sz w:val="18"/>
        <w:szCs w:val="18"/>
        <w:lang w:val="en-US"/>
      </w:rPr>
      <w:t>Western Sīrah Literature</w:t>
    </w:r>
    <w:r>
      <w:rPr>
        <w:rFonts w:asciiTheme="majorHAnsi" w:hAnsiTheme="majorHAnsi" w:cstheme="majorBidi"/>
        <w:sz w:val="18"/>
        <w:szCs w:val="18"/>
      </w:rPr>
      <w:t xml:space="preserve"> / </w:t>
    </w:r>
    <w:r>
      <w:rPr>
        <w:rFonts w:asciiTheme="majorHAnsi" w:hAnsiTheme="majorHAnsi" w:cs="Sakkal Majalla"/>
        <w:sz w:val="18"/>
        <w:szCs w:val="18"/>
      </w:rPr>
      <w:t xml:space="preserve">Irshad EV                                                                             </w:t>
    </w:r>
    <w:r w:rsidRPr="00F1463E">
      <w:rPr>
        <w:rFonts w:asciiTheme="majorHAnsi" w:hAnsiTheme="majorHAnsi" w:cs="Sakkal Majalla"/>
        <w:sz w:val="18"/>
        <w:szCs w:val="18"/>
      </w:rPr>
      <w:fldChar w:fldCharType="begin"/>
    </w:r>
    <w:r w:rsidRPr="00F1463E">
      <w:rPr>
        <w:rFonts w:asciiTheme="majorHAnsi" w:hAnsiTheme="majorHAnsi" w:cs="Sakkal Majalla"/>
        <w:sz w:val="18"/>
        <w:szCs w:val="18"/>
      </w:rPr>
      <w:instrText xml:space="preserve"> PAGE   \* MERGEFORMAT </w:instrText>
    </w:r>
    <w:r w:rsidRPr="00F1463E">
      <w:rPr>
        <w:rFonts w:asciiTheme="majorHAnsi" w:hAnsiTheme="majorHAnsi" w:cs="Sakkal Majalla"/>
        <w:sz w:val="18"/>
        <w:szCs w:val="18"/>
      </w:rPr>
      <w:fldChar w:fldCharType="separate"/>
    </w:r>
    <w:r w:rsidR="00CE2BDD">
      <w:rPr>
        <w:rFonts w:asciiTheme="majorHAnsi" w:hAnsiTheme="majorHAnsi" w:cs="Sakkal Majalla"/>
        <w:noProof/>
        <w:sz w:val="18"/>
        <w:szCs w:val="18"/>
      </w:rPr>
      <w:t>33</w:t>
    </w:r>
    <w:r w:rsidRPr="00F1463E">
      <w:rPr>
        <w:rFonts w:asciiTheme="majorHAnsi" w:hAnsiTheme="majorHAnsi" w:cs="Sakkal Majalla"/>
        <w:sz w:val="18"/>
        <w:szCs w:val="18"/>
      </w:rPr>
      <w:fldChar w:fldCharType="end"/>
    </w:r>
  </w:p>
  <w:p w:rsidR="004A0722"/>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A0722" w:rsidRPr="00962F0E" w:rsidP="00962F0E">
    <w:pPr>
      <w:pStyle w:val="Header"/>
      <w:rPr>
        <w:rFonts w:asciiTheme="majorBidi" w:hAnsiTheme="majorBidi" w:cstheme="majorBidi"/>
        <w:sz w:val="18"/>
        <w:szCs w:val="18"/>
        <w:shd w:val="clear" w:color="auto" w:fill="FFFFFF"/>
      </w:rPr>
    </w:pPr>
    <w:r w:rsidRPr="00962F0E">
      <w:rPr>
        <w:rFonts w:asciiTheme="majorBidi" w:hAnsiTheme="majorBidi" w:cstheme="majorBidi"/>
        <w:noProof/>
        <w:sz w:val="18"/>
        <w:szCs w:val="18"/>
        <w:lang w:val="en-US"/>
      </w:rPr>
      <w:t>Ḥadīth of Self-Knowing</w:t>
    </w:r>
    <w:r w:rsidRPr="00962F0E">
      <w:rPr>
        <w:rFonts w:asciiTheme="majorBidi" w:hAnsiTheme="majorBidi" w:cstheme="majorBidi"/>
        <w:sz w:val="18"/>
        <w:szCs w:val="18"/>
        <w:lang w:val="en-US"/>
      </w:rPr>
      <w:t xml:space="preserve"> </w:t>
    </w:r>
    <w:r w:rsidRPr="00962F0E">
      <w:rPr>
        <w:rFonts w:asciiTheme="majorBidi" w:hAnsiTheme="majorBidi" w:cstheme="majorBidi"/>
        <w:sz w:val="18"/>
        <w:szCs w:val="18"/>
        <w:lang w:val="en-US"/>
      </w:rPr>
      <w:t xml:space="preserve">/ </w:t>
    </w:r>
    <w:r w:rsidRPr="00962F0E" w:rsidR="00962F0E">
      <w:rPr>
        <w:rFonts w:asciiTheme="majorBidi" w:hAnsiTheme="majorBidi" w:cstheme="majorBidi"/>
        <w:sz w:val="18"/>
        <w:szCs w:val="18"/>
      </w:rPr>
      <w:t>Muhammad Gufran-ul-Haque</w:t>
    </w:r>
    <w:r w:rsidRPr="00962F0E">
      <w:rPr>
        <w:rFonts w:asciiTheme="majorBidi" w:hAnsiTheme="majorBidi" w:cstheme="majorBidi"/>
        <w:sz w:val="18"/>
        <w:szCs w:val="18"/>
      </w:rPr>
      <w:t xml:space="preserve"> </w:t>
    </w:r>
    <w:r w:rsidR="00962F0E">
      <w:rPr>
        <w:rFonts w:asciiTheme="majorBidi" w:hAnsiTheme="majorBidi" w:cstheme="majorBidi"/>
        <w:sz w:val="18"/>
        <w:szCs w:val="18"/>
      </w:rPr>
      <w:t xml:space="preserve">                   </w:t>
    </w:r>
    <w:r w:rsidRPr="00962F0E">
      <w:rPr>
        <w:rFonts w:asciiTheme="majorBidi" w:hAnsiTheme="majorBidi" w:cstheme="majorBidi"/>
        <w:sz w:val="18"/>
        <w:szCs w:val="18"/>
      </w:rPr>
      <w:t xml:space="preserve">                    </w:t>
    </w:r>
    <w:r w:rsidRPr="00962F0E">
      <w:rPr>
        <w:rFonts w:asciiTheme="majorBidi" w:hAnsiTheme="majorBidi" w:cstheme="majorBidi"/>
        <w:sz w:val="18"/>
        <w:szCs w:val="18"/>
      </w:rPr>
      <w:fldChar w:fldCharType="begin"/>
    </w:r>
    <w:r w:rsidRPr="00962F0E">
      <w:rPr>
        <w:rFonts w:asciiTheme="majorBidi" w:hAnsiTheme="majorBidi" w:cstheme="majorBidi"/>
        <w:sz w:val="18"/>
        <w:szCs w:val="18"/>
      </w:rPr>
      <w:instrText xml:space="preserve"> PAGE   \* MERGEFORMAT </w:instrText>
    </w:r>
    <w:r w:rsidRPr="00962F0E">
      <w:rPr>
        <w:rFonts w:asciiTheme="majorBidi" w:hAnsiTheme="majorBidi" w:cstheme="majorBidi"/>
        <w:sz w:val="18"/>
        <w:szCs w:val="18"/>
      </w:rPr>
      <w:fldChar w:fldCharType="separate"/>
    </w:r>
    <w:r w:rsidR="00CE2BDD">
      <w:rPr>
        <w:rFonts w:asciiTheme="majorBidi" w:hAnsiTheme="majorBidi" w:cstheme="majorBidi"/>
        <w:noProof/>
        <w:sz w:val="18"/>
        <w:szCs w:val="18"/>
      </w:rPr>
      <w:t>59</w:t>
    </w:r>
    <w:r w:rsidRPr="00962F0E">
      <w:rPr>
        <w:rFonts w:asciiTheme="majorBidi" w:hAnsiTheme="majorBidi" w:cstheme="majorBidi"/>
        <w:sz w:val="18"/>
        <w:szCs w:val="18"/>
      </w:rPr>
      <w:fldChar w:fldCharType="end"/>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name w:val="WWNum1"/>
    <w:lvl w:ilvl="0">
      <w:start w:val="1"/>
      <w:numFmt w:val="decimal"/>
      <w:lvlText w:val="%1."/>
      <w:lvlJc w:val="left"/>
      <w:pPr>
        <w:tabs>
          <w:tab w:val="num" w:pos="0"/>
        </w:tabs>
        <w:ind w:left="720" w:hanging="360"/>
      </w:pPr>
      <w:rPr>
        <w:color w:val="000000"/>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nsid w:val="00D10218"/>
    <w:multiLevelType w:val="hybridMultilevel"/>
    <w:tmpl w:val="05166BD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nsid w:val="013C199C"/>
    <w:multiLevelType w:val="hybridMultilevel"/>
    <w:tmpl w:val="4D82015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1721FB3"/>
    <w:multiLevelType w:val="hybridMultilevel"/>
    <w:tmpl w:val="AD90010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035F00E8"/>
    <w:multiLevelType w:val="hybridMultilevel"/>
    <w:tmpl w:val="D9F2D35A"/>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7E04E68"/>
    <w:multiLevelType w:val="hybridMultilevel"/>
    <w:tmpl w:val="3EC466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nsid w:val="09F10781"/>
    <w:multiLevelType w:val="hybridMultilevel"/>
    <w:tmpl w:val="926E311A"/>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13E44C2F"/>
    <w:multiLevelType w:val="multilevel"/>
    <w:tmpl w:val="B9C42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47E50E4"/>
    <w:multiLevelType w:val="hybridMultilevel"/>
    <w:tmpl w:val="E550DB0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9">
    <w:nsid w:val="1562032E"/>
    <w:multiLevelType w:val="hybridMultilevel"/>
    <w:tmpl w:val="34B21F80"/>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1EC64855"/>
    <w:multiLevelType w:val="multilevel"/>
    <w:tmpl w:val="47282CE0"/>
    <w:lvl w:ilvl="0">
      <w:start w:val="1"/>
      <w:numFmt w:val="decimal"/>
      <w:lvlText w:val="%1."/>
      <w:lvlJc w:val="left"/>
      <w:pPr>
        <w:ind w:left="720" w:hanging="360"/>
      </w:pPr>
      <w:rPr>
        <w:rFonts w:hint="default"/>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nsid w:val="308049DB"/>
    <w:multiLevelType w:val="hybridMultilevel"/>
    <w:tmpl w:val="128CFD9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2">
    <w:nsid w:val="37266DBA"/>
    <w:multiLevelType w:val="hybridMultilevel"/>
    <w:tmpl w:val="093A5FC8"/>
    <w:lvl w:ilvl="0">
      <w:start w:val="1"/>
      <w:numFmt w:val="decimal"/>
      <w:lvlText w:val="%1."/>
      <w:lvlJc w:val="left"/>
      <w:pPr>
        <w:ind w:left="720" w:hanging="360"/>
      </w:pPr>
      <w:rPr>
        <w:rFonts w:hint="default"/>
        <w:b w: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3">
    <w:nsid w:val="3A48246E"/>
    <w:multiLevelType w:val="hybridMultilevel"/>
    <w:tmpl w:val="72385DC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4">
    <w:nsid w:val="3C814FB7"/>
    <w:multiLevelType w:val="multilevel"/>
    <w:tmpl w:val="30BAC0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502" w:hanging="360"/>
      </w:pPr>
      <w:rPr>
        <w:rFonts w:hint="default"/>
        <w:b w:val="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372354"/>
    <w:multiLevelType w:val="multilevel"/>
    <w:tmpl w:val="04266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ACA7C18"/>
    <w:multiLevelType w:val="hybridMultilevel"/>
    <w:tmpl w:val="E1FAE52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541F5E1D"/>
    <w:multiLevelType w:val="multilevel"/>
    <w:tmpl w:val="A6E41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6861048"/>
    <w:multiLevelType w:val="hybridMultilevel"/>
    <w:tmpl w:val="ABCA012C"/>
    <w:lvl w:ilvl="0">
      <w:start w:val="1"/>
      <w:numFmt w:val="decimal"/>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648624B5"/>
    <w:multiLevelType w:val="hybridMultilevel"/>
    <w:tmpl w:val="FCE0A93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6E601B12"/>
    <w:multiLevelType w:val="hybridMultilevel"/>
    <w:tmpl w:val="2D58D786"/>
    <w:lvl w:ilvl="0">
      <w:start w:val="1"/>
      <w:numFmt w:val="lowerLetter"/>
      <w:lvlText w:val="%1)"/>
      <w:lvlJc w:val="left"/>
      <w:pPr>
        <w:ind w:left="720" w:hanging="360"/>
      </w:pPr>
      <w:rPr>
        <w:rFonts w:hint="default"/>
        <w:b w:val="0"/>
        <w:u w:val="none"/>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1">
    <w:nsid w:val="7E36370F"/>
    <w:multiLevelType w:val="multilevel"/>
    <w:tmpl w:val="CEAC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0"/>
  </w:num>
  <w:num w:numId="3">
    <w:abstractNumId w:val="12"/>
  </w:num>
  <w:num w:numId="4">
    <w:abstractNumId w:val="13"/>
  </w:num>
  <w:num w:numId="5">
    <w:abstractNumId w:val="5"/>
  </w:num>
  <w:num w:numId="6">
    <w:abstractNumId w:val="10"/>
  </w:num>
  <w:num w:numId="7">
    <w:abstractNumId w:val="2"/>
  </w:num>
  <w:num w:numId="8">
    <w:abstractNumId w:val="8"/>
  </w:num>
  <w:num w:numId="9">
    <w:abstractNumId w:val="1"/>
  </w:num>
  <w:num w:numId="10">
    <w:abstractNumId w:val="11"/>
  </w:num>
  <w:num w:numId="11">
    <w:abstractNumId w:val="19"/>
  </w:num>
  <w:num w:numId="12">
    <w:abstractNumId w:val="16"/>
  </w:num>
  <w:num w:numId="13">
    <w:abstractNumId w:val="3"/>
  </w:num>
  <w:num w:numId="14">
    <w:abstractNumId w:val="14"/>
  </w:num>
  <w:num w:numId="15">
    <w:abstractNumId w:val="21"/>
  </w:num>
  <w:num w:numId="16">
    <w:abstractNumId w:val="7"/>
  </w:num>
  <w:num w:numId="17">
    <w:abstractNumId w:val="15"/>
  </w:num>
  <w:num w:numId="18">
    <w:abstractNumId w:val="17"/>
  </w:num>
  <w:num w:numId="19">
    <w:abstractNumId w:val="4"/>
  </w:num>
  <w:num w:numId="20">
    <w:abstractNumId w:val="18"/>
  </w:num>
  <w:num w:numId="21">
    <w:abstractNumId w:val="9"/>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hideSpellingErrors/>
  <w:zoom w:percent="148"/>
  <w:doNotTrackFormatting/>
  <w:defaultTabStop w:val="720"/>
  <w:evenAndOddHeaders/>
  <w:drawingGridHorizontalSpacing w:val="110"/>
  <w:displayHorizontalDrawingGridEvery w:val="2"/>
  <w:characterSpacingControl w:val="doNotCompress"/>
  <w:footnotePr>
    <w:numStart w:val="3"/>
    <w:numRestart w:val="eachPage"/>
    <w:footnote w:id="0"/>
    <w:footnote w:id="1"/>
  </w:footnotePr>
  <w:compat>
    <w:applyBreakingRules/>
  </w:compat>
  <w:rsids>
    <w:rsidRoot w:val="00E7597C"/>
    <w:rsid w:val="0000020B"/>
    <w:rsid w:val="0000033D"/>
    <w:rsid w:val="000006D1"/>
    <w:rsid w:val="00000E11"/>
    <w:rsid w:val="000019CB"/>
    <w:rsid w:val="00001B6D"/>
    <w:rsid w:val="00001C21"/>
    <w:rsid w:val="00001E01"/>
    <w:rsid w:val="00003C0D"/>
    <w:rsid w:val="00003F5C"/>
    <w:rsid w:val="00004F9D"/>
    <w:rsid w:val="00005566"/>
    <w:rsid w:val="00005B16"/>
    <w:rsid w:val="00005FE9"/>
    <w:rsid w:val="00006C31"/>
    <w:rsid w:val="00006C73"/>
    <w:rsid w:val="0000748E"/>
    <w:rsid w:val="00010293"/>
    <w:rsid w:val="00010D40"/>
    <w:rsid w:val="0001354B"/>
    <w:rsid w:val="000144A8"/>
    <w:rsid w:val="000145A3"/>
    <w:rsid w:val="000155EF"/>
    <w:rsid w:val="000170A0"/>
    <w:rsid w:val="00017C10"/>
    <w:rsid w:val="00020865"/>
    <w:rsid w:val="00020CAA"/>
    <w:rsid w:val="00020D68"/>
    <w:rsid w:val="00021877"/>
    <w:rsid w:val="00021A36"/>
    <w:rsid w:val="00025415"/>
    <w:rsid w:val="00025AED"/>
    <w:rsid w:val="00026A8C"/>
    <w:rsid w:val="000278C7"/>
    <w:rsid w:val="00027921"/>
    <w:rsid w:val="00027B8C"/>
    <w:rsid w:val="00027C4E"/>
    <w:rsid w:val="000301F3"/>
    <w:rsid w:val="00030424"/>
    <w:rsid w:val="0003134D"/>
    <w:rsid w:val="0003205E"/>
    <w:rsid w:val="000321BB"/>
    <w:rsid w:val="00032879"/>
    <w:rsid w:val="00035108"/>
    <w:rsid w:val="00035944"/>
    <w:rsid w:val="00035BF5"/>
    <w:rsid w:val="00037F26"/>
    <w:rsid w:val="000433EE"/>
    <w:rsid w:val="00043411"/>
    <w:rsid w:val="000450F4"/>
    <w:rsid w:val="00045944"/>
    <w:rsid w:val="00046691"/>
    <w:rsid w:val="00046B23"/>
    <w:rsid w:val="00047D58"/>
    <w:rsid w:val="00050FBB"/>
    <w:rsid w:val="00051A97"/>
    <w:rsid w:val="00053032"/>
    <w:rsid w:val="000535BC"/>
    <w:rsid w:val="000535DB"/>
    <w:rsid w:val="000550CF"/>
    <w:rsid w:val="00055A8E"/>
    <w:rsid w:val="000570AD"/>
    <w:rsid w:val="0005721B"/>
    <w:rsid w:val="00060709"/>
    <w:rsid w:val="00061968"/>
    <w:rsid w:val="00061AD7"/>
    <w:rsid w:val="00061B36"/>
    <w:rsid w:val="00062430"/>
    <w:rsid w:val="00062758"/>
    <w:rsid w:val="00063668"/>
    <w:rsid w:val="00063C21"/>
    <w:rsid w:val="00064773"/>
    <w:rsid w:val="000672E3"/>
    <w:rsid w:val="00070AC5"/>
    <w:rsid w:val="0007109F"/>
    <w:rsid w:val="000713CC"/>
    <w:rsid w:val="0007213E"/>
    <w:rsid w:val="00072486"/>
    <w:rsid w:val="00072861"/>
    <w:rsid w:val="000733BD"/>
    <w:rsid w:val="00073AC7"/>
    <w:rsid w:val="0007474B"/>
    <w:rsid w:val="0007482C"/>
    <w:rsid w:val="00074DB8"/>
    <w:rsid w:val="000759B7"/>
    <w:rsid w:val="0007628D"/>
    <w:rsid w:val="0007630A"/>
    <w:rsid w:val="00076ED1"/>
    <w:rsid w:val="000779DE"/>
    <w:rsid w:val="0008117F"/>
    <w:rsid w:val="0008262D"/>
    <w:rsid w:val="00082B4A"/>
    <w:rsid w:val="0008340D"/>
    <w:rsid w:val="00084123"/>
    <w:rsid w:val="000841DF"/>
    <w:rsid w:val="00084F63"/>
    <w:rsid w:val="00084FD9"/>
    <w:rsid w:val="000853B0"/>
    <w:rsid w:val="00085F61"/>
    <w:rsid w:val="00086913"/>
    <w:rsid w:val="00087100"/>
    <w:rsid w:val="0008769D"/>
    <w:rsid w:val="00093EBA"/>
    <w:rsid w:val="0009400A"/>
    <w:rsid w:val="00095797"/>
    <w:rsid w:val="000963C0"/>
    <w:rsid w:val="000A0BD4"/>
    <w:rsid w:val="000A0E2D"/>
    <w:rsid w:val="000A139A"/>
    <w:rsid w:val="000A16DD"/>
    <w:rsid w:val="000A1936"/>
    <w:rsid w:val="000A1BF5"/>
    <w:rsid w:val="000A2000"/>
    <w:rsid w:val="000A205F"/>
    <w:rsid w:val="000A3547"/>
    <w:rsid w:val="000A376C"/>
    <w:rsid w:val="000A39FB"/>
    <w:rsid w:val="000A408B"/>
    <w:rsid w:val="000A41BD"/>
    <w:rsid w:val="000A6663"/>
    <w:rsid w:val="000A7A88"/>
    <w:rsid w:val="000B0BE4"/>
    <w:rsid w:val="000B35D9"/>
    <w:rsid w:val="000B3FF2"/>
    <w:rsid w:val="000B51BC"/>
    <w:rsid w:val="000B54AC"/>
    <w:rsid w:val="000B585E"/>
    <w:rsid w:val="000B697A"/>
    <w:rsid w:val="000B6B14"/>
    <w:rsid w:val="000C01A8"/>
    <w:rsid w:val="000C08CF"/>
    <w:rsid w:val="000C15CF"/>
    <w:rsid w:val="000C38DF"/>
    <w:rsid w:val="000C4641"/>
    <w:rsid w:val="000C570D"/>
    <w:rsid w:val="000C5C94"/>
    <w:rsid w:val="000C6790"/>
    <w:rsid w:val="000C6E74"/>
    <w:rsid w:val="000C7B29"/>
    <w:rsid w:val="000C7EDA"/>
    <w:rsid w:val="000D06BE"/>
    <w:rsid w:val="000D2204"/>
    <w:rsid w:val="000D28AC"/>
    <w:rsid w:val="000D2CCF"/>
    <w:rsid w:val="000D3B2A"/>
    <w:rsid w:val="000D410A"/>
    <w:rsid w:val="000D4ED7"/>
    <w:rsid w:val="000D5490"/>
    <w:rsid w:val="000D5859"/>
    <w:rsid w:val="000D5883"/>
    <w:rsid w:val="000D60A2"/>
    <w:rsid w:val="000D6AE4"/>
    <w:rsid w:val="000E07A9"/>
    <w:rsid w:val="000E1E94"/>
    <w:rsid w:val="000E20F3"/>
    <w:rsid w:val="000E29D3"/>
    <w:rsid w:val="000E2CD6"/>
    <w:rsid w:val="000E402C"/>
    <w:rsid w:val="000E458A"/>
    <w:rsid w:val="000E4C31"/>
    <w:rsid w:val="000E63AF"/>
    <w:rsid w:val="000E6472"/>
    <w:rsid w:val="000E6B68"/>
    <w:rsid w:val="000E6FAC"/>
    <w:rsid w:val="000E7263"/>
    <w:rsid w:val="000E7CA5"/>
    <w:rsid w:val="000E7EFD"/>
    <w:rsid w:val="000F0B6E"/>
    <w:rsid w:val="000F0D81"/>
    <w:rsid w:val="000F0F17"/>
    <w:rsid w:val="000F18CD"/>
    <w:rsid w:val="000F38BF"/>
    <w:rsid w:val="000F3BEF"/>
    <w:rsid w:val="000F4CC8"/>
    <w:rsid w:val="000F4F5F"/>
    <w:rsid w:val="000F5102"/>
    <w:rsid w:val="000F6AC7"/>
    <w:rsid w:val="000F6FBA"/>
    <w:rsid w:val="000F74D7"/>
    <w:rsid w:val="00100174"/>
    <w:rsid w:val="0010030A"/>
    <w:rsid w:val="001014A8"/>
    <w:rsid w:val="00101D97"/>
    <w:rsid w:val="00101DCF"/>
    <w:rsid w:val="00102B82"/>
    <w:rsid w:val="001037C9"/>
    <w:rsid w:val="00103F5F"/>
    <w:rsid w:val="001045CC"/>
    <w:rsid w:val="0010537B"/>
    <w:rsid w:val="001054CD"/>
    <w:rsid w:val="00106006"/>
    <w:rsid w:val="00106F32"/>
    <w:rsid w:val="001072C1"/>
    <w:rsid w:val="001100B5"/>
    <w:rsid w:val="001100CC"/>
    <w:rsid w:val="001103FF"/>
    <w:rsid w:val="00110681"/>
    <w:rsid w:val="001109F9"/>
    <w:rsid w:val="00111660"/>
    <w:rsid w:val="00111887"/>
    <w:rsid w:val="001132A6"/>
    <w:rsid w:val="00113BDD"/>
    <w:rsid w:val="00113C0A"/>
    <w:rsid w:val="0011474B"/>
    <w:rsid w:val="00115C41"/>
    <w:rsid w:val="00115F76"/>
    <w:rsid w:val="00116134"/>
    <w:rsid w:val="001175E2"/>
    <w:rsid w:val="00120462"/>
    <w:rsid w:val="0012078A"/>
    <w:rsid w:val="00120C0E"/>
    <w:rsid w:val="001218B1"/>
    <w:rsid w:val="00121BD8"/>
    <w:rsid w:val="0012296A"/>
    <w:rsid w:val="00123CE6"/>
    <w:rsid w:val="00124081"/>
    <w:rsid w:val="00124336"/>
    <w:rsid w:val="00126942"/>
    <w:rsid w:val="00130DAD"/>
    <w:rsid w:val="00130DE5"/>
    <w:rsid w:val="0013109E"/>
    <w:rsid w:val="00131B94"/>
    <w:rsid w:val="00131D4D"/>
    <w:rsid w:val="001327B7"/>
    <w:rsid w:val="00132A77"/>
    <w:rsid w:val="001350BC"/>
    <w:rsid w:val="001355A9"/>
    <w:rsid w:val="001360EC"/>
    <w:rsid w:val="00137110"/>
    <w:rsid w:val="0013775F"/>
    <w:rsid w:val="0014048A"/>
    <w:rsid w:val="001404FC"/>
    <w:rsid w:val="00140722"/>
    <w:rsid w:val="001409C2"/>
    <w:rsid w:val="0014149A"/>
    <w:rsid w:val="00141955"/>
    <w:rsid w:val="0014466E"/>
    <w:rsid w:val="001450CF"/>
    <w:rsid w:val="001452BF"/>
    <w:rsid w:val="00146DA3"/>
    <w:rsid w:val="00150875"/>
    <w:rsid w:val="00151E7D"/>
    <w:rsid w:val="00152F73"/>
    <w:rsid w:val="00153ADC"/>
    <w:rsid w:val="001545A6"/>
    <w:rsid w:val="00154EE0"/>
    <w:rsid w:val="00155391"/>
    <w:rsid w:val="00155B07"/>
    <w:rsid w:val="00155CDC"/>
    <w:rsid w:val="00156111"/>
    <w:rsid w:val="001567B8"/>
    <w:rsid w:val="00156874"/>
    <w:rsid w:val="00156ACC"/>
    <w:rsid w:val="001579D5"/>
    <w:rsid w:val="00157F08"/>
    <w:rsid w:val="00161033"/>
    <w:rsid w:val="00162A00"/>
    <w:rsid w:val="00162C73"/>
    <w:rsid w:val="00164698"/>
    <w:rsid w:val="00164703"/>
    <w:rsid w:val="00164971"/>
    <w:rsid w:val="00166360"/>
    <w:rsid w:val="00167033"/>
    <w:rsid w:val="00167667"/>
    <w:rsid w:val="00167B45"/>
    <w:rsid w:val="00167EA1"/>
    <w:rsid w:val="00167F60"/>
    <w:rsid w:val="00170605"/>
    <w:rsid w:val="001710BE"/>
    <w:rsid w:val="00171696"/>
    <w:rsid w:val="00172C51"/>
    <w:rsid w:val="00173514"/>
    <w:rsid w:val="0017360F"/>
    <w:rsid w:val="00173930"/>
    <w:rsid w:val="00173DC5"/>
    <w:rsid w:val="00174153"/>
    <w:rsid w:val="00175221"/>
    <w:rsid w:val="00175942"/>
    <w:rsid w:val="001762E2"/>
    <w:rsid w:val="001768ED"/>
    <w:rsid w:val="00176E22"/>
    <w:rsid w:val="001775C4"/>
    <w:rsid w:val="00182711"/>
    <w:rsid w:val="00182912"/>
    <w:rsid w:val="00182C97"/>
    <w:rsid w:val="00183181"/>
    <w:rsid w:val="00183903"/>
    <w:rsid w:val="00184771"/>
    <w:rsid w:val="00186745"/>
    <w:rsid w:val="00187DDF"/>
    <w:rsid w:val="00190BDC"/>
    <w:rsid w:val="00193E02"/>
    <w:rsid w:val="00195B3E"/>
    <w:rsid w:val="00197152"/>
    <w:rsid w:val="001978C7"/>
    <w:rsid w:val="00197B73"/>
    <w:rsid w:val="001A0A6E"/>
    <w:rsid w:val="001A0E58"/>
    <w:rsid w:val="001A18FE"/>
    <w:rsid w:val="001A32C5"/>
    <w:rsid w:val="001A4221"/>
    <w:rsid w:val="001A5575"/>
    <w:rsid w:val="001A73E0"/>
    <w:rsid w:val="001B2CBA"/>
    <w:rsid w:val="001B3929"/>
    <w:rsid w:val="001B47CB"/>
    <w:rsid w:val="001B4B55"/>
    <w:rsid w:val="001B4F96"/>
    <w:rsid w:val="001B4FCF"/>
    <w:rsid w:val="001B6390"/>
    <w:rsid w:val="001B6757"/>
    <w:rsid w:val="001B6E13"/>
    <w:rsid w:val="001B7164"/>
    <w:rsid w:val="001B75D7"/>
    <w:rsid w:val="001B7B63"/>
    <w:rsid w:val="001B7C5E"/>
    <w:rsid w:val="001B7F10"/>
    <w:rsid w:val="001C0378"/>
    <w:rsid w:val="001C2BB2"/>
    <w:rsid w:val="001C4CDC"/>
    <w:rsid w:val="001C554C"/>
    <w:rsid w:val="001C603A"/>
    <w:rsid w:val="001C6165"/>
    <w:rsid w:val="001C6930"/>
    <w:rsid w:val="001C72EA"/>
    <w:rsid w:val="001C778E"/>
    <w:rsid w:val="001D0323"/>
    <w:rsid w:val="001D0CD1"/>
    <w:rsid w:val="001D1222"/>
    <w:rsid w:val="001D145C"/>
    <w:rsid w:val="001D1A69"/>
    <w:rsid w:val="001D1B47"/>
    <w:rsid w:val="001D25E2"/>
    <w:rsid w:val="001D2719"/>
    <w:rsid w:val="001D2D2D"/>
    <w:rsid w:val="001D425B"/>
    <w:rsid w:val="001D4A29"/>
    <w:rsid w:val="001D515A"/>
    <w:rsid w:val="001D6401"/>
    <w:rsid w:val="001D64E5"/>
    <w:rsid w:val="001D7990"/>
    <w:rsid w:val="001D7B51"/>
    <w:rsid w:val="001D7DEF"/>
    <w:rsid w:val="001E18F0"/>
    <w:rsid w:val="001E2668"/>
    <w:rsid w:val="001E29DF"/>
    <w:rsid w:val="001E2F81"/>
    <w:rsid w:val="001E3E27"/>
    <w:rsid w:val="001E4181"/>
    <w:rsid w:val="001E5C11"/>
    <w:rsid w:val="001E67BE"/>
    <w:rsid w:val="001E6836"/>
    <w:rsid w:val="001E69E6"/>
    <w:rsid w:val="001E6BC3"/>
    <w:rsid w:val="001E728D"/>
    <w:rsid w:val="001F0541"/>
    <w:rsid w:val="001F148C"/>
    <w:rsid w:val="001F1EAF"/>
    <w:rsid w:val="001F2276"/>
    <w:rsid w:val="001F30C9"/>
    <w:rsid w:val="001F3EB4"/>
    <w:rsid w:val="001F4CAA"/>
    <w:rsid w:val="001F55AA"/>
    <w:rsid w:val="001F57D1"/>
    <w:rsid w:val="001F5F20"/>
    <w:rsid w:val="001F61E1"/>
    <w:rsid w:val="001F6DE5"/>
    <w:rsid w:val="00200296"/>
    <w:rsid w:val="00200A62"/>
    <w:rsid w:val="00201876"/>
    <w:rsid w:val="00201B2B"/>
    <w:rsid w:val="00201CE1"/>
    <w:rsid w:val="002027C6"/>
    <w:rsid w:val="0020338E"/>
    <w:rsid w:val="00203C26"/>
    <w:rsid w:val="00205A27"/>
    <w:rsid w:val="002065D1"/>
    <w:rsid w:val="0020797F"/>
    <w:rsid w:val="00207D5F"/>
    <w:rsid w:val="00210224"/>
    <w:rsid w:val="002106F8"/>
    <w:rsid w:val="0021155B"/>
    <w:rsid w:val="00211FFE"/>
    <w:rsid w:val="00212610"/>
    <w:rsid w:val="00212A83"/>
    <w:rsid w:val="00213812"/>
    <w:rsid w:val="00213D85"/>
    <w:rsid w:val="00214102"/>
    <w:rsid w:val="00214E50"/>
    <w:rsid w:val="002151F8"/>
    <w:rsid w:val="00215DC6"/>
    <w:rsid w:val="00216720"/>
    <w:rsid w:val="002171B5"/>
    <w:rsid w:val="00220B05"/>
    <w:rsid w:val="00221160"/>
    <w:rsid w:val="00221572"/>
    <w:rsid w:val="00221F51"/>
    <w:rsid w:val="002221FF"/>
    <w:rsid w:val="00222B89"/>
    <w:rsid w:val="00222DCA"/>
    <w:rsid w:val="002231F2"/>
    <w:rsid w:val="002232AB"/>
    <w:rsid w:val="00223328"/>
    <w:rsid w:val="00224391"/>
    <w:rsid w:val="00224888"/>
    <w:rsid w:val="00224A36"/>
    <w:rsid w:val="00224F74"/>
    <w:rsid w:val="00225E68"/>
    <w:rsid w:val="002263E5"/>
    <w:rsid w:val="002267AA"/>
    <w:rsid w:val="00226ACB"/>
    <w:rsid w:val="00227B10"/>
    <w:rsid w:val="002336FA"/>
    <w:rsid w:val="00234792"/>
    <w:rsid w:val="002351EA"/>
    <w:rsid w:val="00235EBD"/>
    <w:rsid w:val="002367F1"/>
    <w:rsid w:val="00236CE0"/>
    <w:rsid w:val="002372A6"/>
    <w:rsid w:val="00241AAC"/>
    <w:rsid w:val="00242DE3"/>
    <w:rsid w:val="002431FB"/>
    <w:rsid w:val="0024322B"/>
    <w:rsid w:val="00243B2D"/>
    <w:rsid w:val="00243F76"/>
    <w:rsid w:val="002454CA"/>
    <w:rsid w:val="00245621"/>
    <w:rsid w:val="002467A9"/>
    <w:rsid w:val="00246B8F"/>
    <w:rsid w:val="00247256"/>
    <w:rsid w:val="00247870"/>
    <w:rsid w:val="00247A3A"/>
    <w:rsid w:val="00247B9E"/>
    <w:rsid w:val="00247C63"/>
    <w:rsid w:val="00247C98"/>
    <w:rsid w:val="00251086"/>
    <w:rsid w:val="0025125D"/>
    <w:rsid w:val="00252382"/>
    <w:rsid w:val="00252A7A"/>
    <w:rsid w:val="00253D62"/>
    <w:rsid w:val="00253DFC"/>
    <w:rsid w:val="00254C4D"/>
    <w:rsid w:val="0025548F"/>
    <w:rsid w:val="0025682D"/>
    <w:rsid w:val="00256BB5"/>
    <w:rsid w:val="00257933"/>
    <w:rsid w:val="00260E79"/>
    <w:rsid w:val="00261009"/>
    <w:rsid w:val="00261DE7"/>
    <w:rsid w:val="00262125"/>
    <w:rsid w:val="002626CF"/>
    <w:rsid w:val="00263336"/>
    <w:rsid w:val="002633B7"/>
    <w:rsid w:val="00263463"/>
    <w:rsid w:val="00264489"/>
    <w:rsid w:val="00265044"/>
    <w:rsid w:val="002665E8"/>
    <w:rsid w:val="002667F9"/>
    <w:rsid w:val="00267D1D"/>
    <w:rsid w:val="00267EB0"/>
    <w:rsid w:val="00271EA3"/>
    <w:rsid w:val="00273EE3"/>
    <w:rsid w:val="00274709"/>
    <w:rsid w:val="00274C49"/>
    <w:rsid w:val="00274F0F"/>
    <w:rsid w:val="00275246"/>
    <w:rsid w:val="002767D6"/>
    <w:rsid w:val="002769D8"/>
    <w:rsid w:val="00276AB4"/>
    <w:rsid w:val="00277CAE"/>
    <w:rsid w:val="00280411"/>
    <w:rsid w:val="0028155D"/>
    <w:rsid w:val="002817E3"/>
    <w:rsid w:val="00281ACE"/>
    <w:rsid w:val="00281B9D"/>
    <w:rsid w:val="00282293"/>
    <w:rsid w:val="002830B6"/>
    <w:rsid w:val="0028311A"/>
    <w:rsid w:val="002838EE"/>
    <w:rsid w:val="00283AC0"/>
    <w:rsid w:val="00284B10"/>
    <w:rsid w:val="00285A4C"/>
    <w:rsid w:val="00286333"/>
    <w:rsid w:val="00286338"/>
    <w:rsid w:val="00286874"/>
    <w:rsid w:val="00286882"/>
    <w:rsid w:val="00286E05"/>
    <w:rsid w:val="00286E1C"/>
    <w:rsid w:val="00287787"/>
    <w:rsid w:val="00290279"/>
    <w:rsid w:val="00291046"/>
    <w:rsid w:val="00292C56"/>
    <w:rsid w:val="002934DE"/>
    <w:rsid w:val="00296620"/>
    <w:rsid w:val="00296AA9"/>
    <w:rsid w:val="002973D4"/>
    <w:rsid w:val="002974F3"/>
    <w:rsid w:val="002A09BA"/>
    <w:rsid w:val="002A1E9B"/>
    <w:rsid w:val="002A3718"/>
    <w:rsid w:val="002A3741"/>
    <w:rsid w:val="002A46C0"/>
    <w:rsid w:val="002A526F"/>
    <w:rsid w:val="002A691C"/>
    <w:rsid w:val="002A6AD9"/>
    <w:rsid w:val="002B167D"/>
    <w:rsid w:val="002B173D"/>
    <w:rsid w:val="002B25D7"/>
    <w:rsid w:val="002B2C96"/>
    <w:rsid w:val="002B433B"/>
    <w:rsid w:val="002B449A"/>
    <w:rsid w:val="002B4FC5"/>
    <w:rsid w:val="002B4FFD"/>
    <w:rsid w:val="002B50C8"/>
    <w:rsid w:val="002B51E2"/>
    <w:rsid w:val="002B579B"/>
    <w:rsid w:val="002B5C08"/>
    <w:rsid w:val="002B7727"/>
    <w:rsid w:val="002C01AB"/>
    <w:rsid w:val="002C0F3B"/>
    <w:rsid w:val="002C1155"/>
    <w:rsid w:val="002C1197"/>
    <w:rsid w:val="002C2D6D"/>
    <w:rsid w:val="002C3DB0"/>
    <w:rsid w:val="002C4768"/>
    <w:rsid w:val="002C4CB4"/>
    <w:rsid w:val="002C539A"/>
    <w:rsid w:val="002C5A1C"/>
    <w:rsid w:val="002C61DF"/>
    <w:rsid w:val="002C6621"/>
    <w:rsid w:val="002D180B"/>
    <w:rsid w:val="002D226D"/>
    <w:rsid w:val="002D363A"/>
    <w:rsid w:val="002D3A23"/>
    <w:rsid w:val="002D421B"/>
    <w:rsid w:val="002D4240"/>
    <w:rsid w:val="002D4586"/>
    <w:rsid w:val="002D47D2"/>
    <w:rsid w:val="002D4F63"/>
    <w:rsid w:val="002D6761"/>
    <w:rsid w:val="002D6A19"/>
    <w:rsid w:val="002D7268"/>
    <w:rsid w:val="002D7AAF"/>
    <w:rsid w:val="002E0C6F"/>
    <w:rsid w:val="002E18C3"/>
    <w:rsid w:val="002E4737"/>
    <w:rsid w:val="002E4FBC"/>
    <w:rsid w:val="002E5AE3"/>
    <w:rsid w:val="002E6E69"/>
    <w:rsid w:val="002E6F43"/>
    <w:rsid w:val="002E7CBB"/>
    <w:rsid w:val="002F00A0"/>
    <w:rsid w:val="002F033D"/>
    <w:rsid w:val="002F10CF"/>
    <w:rsid w:val="002F14F7"/>
    <w:rsid w:val="002F1EF3"/>
    <w:rsid w:val="002F2774"/>
    <w:rsid w:val="002F4ED3"/>
    <w:rsid w:val="002F540B"/>
    <w:rsid w:val="002F6BBE"/>
    <w:rsid w:val="00300133"/>
    <w:rsid w:val="0030013A"/>
    <w:rsid w:val="003002C3"/>
    <w:rsid w:val="0030127A"/>
    <w:rsid w:val="00302A8D"/>
    <w:rsid w:val="0030386B"/>
    <w:rsid w:val="00303CE0"/>
    <w:rsid w:val="00310766"/>
    <w:rsid w:val="00311104"/>
    <w:rsid w:val="003111F0"/>
    <w:rsid w:val="003129FC"/>
    <w:rsid w:val="00313287"/>
    <w:rsid w:val="00314209"/>
    <w:rsid w:val="00315624"/>
    <w:rsid w:val="00315C08"/>
    <w:rsid w:val="00315FDB"/>
    <w:rsid w:val="00317219"/>
    <w:rsid w:val="0031744D"/>
    <w:rsid w:val="003177A3"/>
    <w:rsid w:val="003177E7"/>
    <w:rsid w:val="0032077A"/>
    <w:rsid w:val="0032101E"/>
    <w:rsid w:val="0032134B"/>
    <w:rsid w:val="00321F3A"/>
    <w:rsid w:val="00322A4E"/>
    <w:rsid w:val="003234AE"/>
    <w:rsid w:val="00325065"/>
    <w:rsid w:val="003250D0"/>
    <w:rsid w:val="00325B29"/>
    <w:rsid w:val="0032752A"/>
    <w:rsid w:val="00331DB0"/>
    <w:rsid w:val="00332018"/>
    <w:rsid w:val="00332CDC"/>
    <w:rsid w:val="00332FC1"/>
    <w:rsid w:val="00333979"/>
    <w:rsid w:val="00335F38"/>
    <w:rsid w:val="003361F5"/>
    <w:rsid w:val="00336BFD"/>
    <w:rsid w:val="003376CE"/>
    <w:rsid w:val="0033792A"/>
    <w:rsid w:val="00343C44"/>
    <w:rsid w:val="003445F9"/>
    <w:rsid w:val="00344FA1"/>
    <w:rsid w:val="003472C2"/>
    <w:rsid w:val="00347A49"/>
    <w:rsid w:val="00350AC0"/>
    <w:rsid w:val="00350B24"/>
    <w:rsid w:val="003511F1"/>
    <w:rsid w:val="003530CE"/>
    <w:rsid w:val="00353622"/>
    <w:rsid w:val="003537FB"/>
    <w:rsid w:val="0035482C"/>
    <w:rsid w:val="00355262"/>
    <w:rsid w:val="00357E3C"/>
    <w:rsid w:val="00360BFC"/>
    <w:rsid w:val="003637F8"/>
    <w:rsid w:val="00363C5A"/>
    <w:rsid w:val="00363F01"/>
    <w:rsid w:val="003642AF"/>
    <w:rsid w:val="003651BB"/>
    <w:rsid w:val="003656DB"/>
    <w:rsid w:val="003669E4"/>
    <w:rsid w:val="00367706"/>
    <w:rsid w:val="00367B9B"/>
    <w:rsid w:val="00367BC9"/>
    <w:rsid w:val="00367D70"/>
    <w:rsid w:val="0037047A"/>
    <w:rsid w:val="003712DD"/>
    <w:rsid w:val="00371448"/>
    <w:rsid w:val="00371BD2"/>
    <w:rsid w:val="003727DA"/>
    <w:rsid w:val="00372D25"/>
    <w:rsid w:val="0037340C"/>
    <w:rsid w:val="003734C5"/>
    <w:rsid w:val="003738FE"/>
    <w:rsid w:val="00373FBA"/>
    <w:rsid w:val="00374895"/>
    <w:rsid w:val="00374B2B"/>
    <w:rsid w:val="003758EA"/>
    <w:rsid w:val="00375EDF"/>
    <w:rsid w:val="00376D52"/>
    <w:rsid w:val="00380280"/>
    <w:rsid w:val="003806D8"/>
    <w:rsid w:val="00381271"/>
    <w:rsid w:val="00381347"/>
    <w:rsid w:val="00382341"/>
    <w:rsid w:val="00382664"/>
    <w:rsid w:val="00382A7A"/>
    <w:rsid w:val="00383CC0"/>
    <w:rsid w:val="00384129"/>
    <w:rsid w:val="003869AF"/>
    <w:rsid w:val="00386B27"/>
    <w:rsid w:val="0038752A"/>
    <w:rsid w:val="00390116"/>
    <w:rsid w:val="0039145D"/>
    <w:rsid w:val="003915E1"/>
    <w:rsid w:val="00392853"/>
    <w:rsid w:val="00392975"/>
    <w:rsid w:val="0039331E"/>
    <w:rsid w:val="003938AF"/>
    <w:rsid w:val="00393E78"/>
    <w:rsid w:val="00394444"/>
    <w:rsid w:val="00394E4E"/>
    <w:rsid w:val="0039552A"/>
    <w:rsid w:val="00395B21"/>
    <w:rsid w:val="00395CDF"/>
    <w:rsid w:val="00396925"/>
    <w:rsid w:val="00396DB9"/>
    <w:rsid w:val="00397224"/>
    <w:rsid w:val="00397280"/>
    <w:rsid w:val="003976E2"/>
    <w:rsid w:val="00397B47"/>
    <w:rsid w:val="003A0BDD"/>
    <w:rsid w:val="003A1C07"/>
    <w:rsid w:val="003A3ABB"/>
    <w:rsid w:val="003A3D43"/>
    <w:rsid w:val="003A3D90"/>
    <w:rsid w:val="003A476D"/>
    <w:rsid w:val="003A52A0"/>
    <w:rsid w:val="003A5735"/>
    <w:rsid w:val="003A6136"/>
    <w:rsid w:val="003A653C"/>
    <w:rsid w:val="003A6CB5"/>
    <w:rsid w:val="003A7982"/>
    <w:rsid w:val="003A7BC3"/>
    <w:rsid w:val="003A7C81"/>
    <w:rsid w:val="003B0BB6"/>
    <w:rsid w:val="003B13B2"/>
    <w:rsid w:val="003B180F"/>
    <w:rsid w:val="003B3976"/>
    <w:rsid w:val="003B4E39"/>
    <w:rsid w:val="003B591A"/>
    <w:rsid w:val="003B5D5D"/>
    <w:rsid w:val="003B71A5"/>
    <w:rsid w:val="003B78B7"/>
    <w:rsid w:val="003B79D7"/>
    <w:rsid w:val="003B7DB5"/>
    <w:rsid w:val="003B7E8F"/>
    <w:rsid w:val="003C19C1"/>
    <w:rsid w:val="003C1D2E"/>
    <w:rsid w:val="003C23C2"/>
    <w:rsid w:val="003C3C40"/>
    <w:rsid w:val="003C4ABC"/>
    <w:rsid w:val="003C4C83"/>
    <w:rsid w:val="003C4CC1"/>
    <w:rsid w:val="003C62D9"/>
    <w:rsid w:val="003C7082"/>
    <w:rsid w:val="003C7BBF"/>
    <w:rsid w:val="003C7D14"/>
    <w:rsid w:val="003D1EB0"/>
    <w:rsid w:val="003D1EC3"/>
    <w:rsid w:val="003D1ED5"/>
    <w:rsid w:val="003D2E99"/>
    <w:rsid w:val="003D36E3"/>
    <w:rsid w:val="003D5F0E"/>
    <w:rsid w:val="003D5F24"/>
    <w:rsid w:val="003E0646"/>
    <w:rsid w:val="003E1E0A"/>
    <w:rsid w:val="003E277C"/>
    <w:rsid w:val="003E2A5A"/>
    <w:rsid w:val="003E550A"/>
    <w:rsid w:val="003E62D6"/>
    <w:rsid w:val="003E67DF"/>
    <w:rsid w:val="003E6ABD"/>
    <w:rsid w:val="003E7921"/>
    <w:rsid w:val="003E7D42"/>
    <w:rsid w:val="003F0548"/>
    <w:rsid w:val="003F1BF0"/>
    <w:rsid w:val="003F1F8C"/>
    <w:rsid w:val="003F2954"/>
    <w:rsid w:val="003F309F"/>
    <w:rsid w:val="003F3EA0"/>
    <w:rsid w:val="003F4614"/>
    <w:rsid w:val="003F4B9A"/>
    <w:rsid w:val="003F5763"/>
    <w:rsid w:val="003F5781"/>
    <w:rsid w:val="003F5E4A"/>
    <w:rsid w:val="003F63BD"/>
    <w:rsid w:val="003F65C6"/>
    <w:rsid w:val="003F6E27"/>
    <w:rsid w:val="00401005"/>
    <w:rsid w:val="004011FC"/>
    <w:rsid w:val="00402F31"/>
    <w:rsid w:val="004039AD"/>
    <w:rsid w:val="0040434A"/>
    <w:rsid w:val="00406591"/>
    <w:rsid w:val="00407BEE"/>
    <w:rsid w:val="00407F04"/>
    <w:rsid w:val="004104DC"/>
    <w:rsid w:val="00410B7C"/>
    <w:rsid w:val="00411CDD"/>
    <w:rsid w:val="00413ECB"/>
    <w:rsid w:val="004145A3"/>
    <w:rsid w:val="00416047"/>
    <w:rsid w:val="00416300"/>
    <w:rsid w:val="00417ACA"/>
    <w:rsid w:val="00417D55"/>
    <w:rsid w:val="00420447"/>
    <w:rsid w:val="00420776"/>
    <w:rsid w:val="00422006"/>
    <w:rsid w:val="004225B8"/>
    <w:rsid w:val="004239FA"/>
    <w:rsid w:val="0042489D"/>
    <w:rsid w:val="00424FC3"/>
    <w:rsid w:val="00425012"/>
    <w:rsid w:val="00426C0F"/>
    <w:rsid w:val="00430AED"/>
    <w:rsid w:val="004316F2"/>
    <w:rsid w:val="00432030"/>
    <w:rsid w:val="00432330"/>
    <w:rsid w:val="00432B99"/>
    <w:rsid w:val="00433514"/>
    <w:rsid w:val="00434CBE"/>
    <w:rsid w:val="00436572"/>
    <w:rsid w:val="00436671"/>
    <w:rsid w:val="0044061B"/>
    <w:rsid w:val="00440CDE"/>
    <w:rsid w:val="0044124F"/>
    <w:rsid w:val="00441FD2"/>
    <w:rsid w:val="004422C5"/>
    <w:rsid w:val="00442B68"/>
    <w:rsid w:val="00442FD4"/>
    <w:rsid w:val="004431D6"/>
    <w:rsid w:val="00443DD0"/>
    <w:rsid w:val="004442D6"/>
    <w:rsid w:val="004447F1"/>
    <w:rsid w:val="00444F7D"/>
    <w:rsid w:val="00446137"/>
    <w:rsid w:val="00446652"/>
    <w:rsid w:val="004467D4"/>
    <w:rsid w:val="00446AD2"/>
    <w:rsid w:val="00452C2C"/>
    <w:rsid w:val="00454252"/>
    <w:rsid w:val="00455CE3"/>
    <w:rsid w:val="00455DA3"/>
    <w:rsid w:val="0045667A"/>
    <w:rsid w:val="00456B8F"/>
    <w:rsid w:val="0045732C"/>
    <w:rsid w:val="00461B6A"/>
    <w:rsid w:val="004621D2"/>
    <w:rsid w:val="0046366C"/>
    <w:rsid w:val="00463BA7"/>
    <w:rsid w:val="00463E21"/>
    <w:rsid w:val="00463E49"/>
    <w:rsid w:val="004658FE"/>
    <w:rsid w:val="004659CF"/>
    <w:rsid w:val="00465D04"/>
    <w:rsid w:val="00466447"/>
    <w:rsid w:val="004702CE"/>
    <w:rsid w:val="004706A2"/>
    <w:rsid w:val="0047258D"/>
    <w:rsid w:val="004734FE"/>
    <w:rsid w:val="00473A8D"/>
    <w:rsid w:val="004741DA"/>
    <w:rsid w:val="0047575B"/>
    <w:rsid w:val="00475B34"/>
    <w:rsid w:val="00475EF3"/>
    <w:rsid w:val="00480941"/>
    <w:rsid w:val="00481CF6"/>
    <w:rsid w:val="0048293B"/>
    <w:rsid w:val="00482C90"/>
    <w:rsid w:val="00482CCB"/>
    <w:rsid w:val="00483258"/>
    <w:rsid w:val="00483752"/>
    <w:rsid w:val="00483D3A"/>
    <w:rsid w:val="00484089"/>
    <w:rsid w:val="00484487"/>
    <w:rsid w:val="0048699E"/>
    <w:rsid w:val="00490133"/>
    <w:rsid w:val="00490143"/>
    <w:rsid w:val="00491FC9"/>
    <w:rsid w:val="0049283F"/>
    <w:rsid w:val="00492993"/>
    <w:rsid w:val="00492D9D"/>
    <w:rsid w:val="0049753D"/>
    <w:rsid w:val="00497DD5"/>
    <w:rsid w:val="004A0722"/>
    <w:rsid w:val="004A1956"/>
    <w:rsid w:val="004A32AD"/>
    <w:rsid w:val="004A3A28"/>
    <w:rsid w:val="004A457D"/>
    <w:rsid w:val="004A562F"/>
    <w:rsid w:val="004A7E8B"/>
    <w:rsid w:val="004B1528"/>
    <w:rsid w:val="004B1814"/>
    <w:rsid w:val="004B18E0"/>
    <w:rsid w:val="004B1A64"/>
    <w:rsid w:val="004B2D82"/>
    <w:rsid w:val="004B3373"/>
    <w:rsid w:val="004B4163"/>
    <w:rsid w:val="004B41A5"/>
    <w:rsid w:val="004B4743"/>
    <w:rsid w:val="004B56DE"/>
    <w:rsid w:val="004B5DB1"/>
    <w:rsid w:val="004B630D"/>
    <w:rsid w:val="004B7D4E"/>
    <w:rsid w:val="004C0279"/>
    <w:rsid w:val="004C0A1D"/>
    <w:rsid w:val="004C1070"/>
    <w:rsid w:val="004C1227"/>
    <w:rsid w:val="004C1669"/>
    <w:rsid w:val="004C196C"/>
    <w:rsid w:val="004C28A5"/>
    <w:rsid w:val="004C2ADE"/>
    <w:rsid w:val="004C3513"/>
    <w:rsid w:val="004C3A25"/>
    <w:rsid w:val="004C4D5A"/>
    <w:rsid w:val="004C4E58"/>
    <w:rsid w:val="004C4E7C"/>
    <w:rsid w:val="004C53E0"/>
    <w:rsid w:val="004C596E"/>
    <w:rsid w:val="004C6D2B"/>
    <w:rsid w:val="004C71D1"/>
    <w:rsid w:val="004D0B00"/>
    <w:rsid w:val="004D1E09"/>
    <w:rsid w:val="004D1E1E"/>
    <w:rsid w:val="004D1E72"/>
    <w:rsid w:val="004D2100"/>
    <w:rsid w:val="004D3423"/>
    <w:rsid w:val="004D3E68"/>
    <w:rsid w:val="004D483D"/>
    <w:rsid w:val="004D4CB7"/>
    <w:rsid w:val="004D5714"/>
    <w:rsid w:val="004D5D9A"/>
    <w:rsid w:val="004D735D"/>
    <w:rsid w:val="004D78DA"/>
    <w:rsid w:val="004E0258"/>
    <w:rsid w:val="004E13B2"/>
    <w:rsid w:val="004E16AC"/>
    <w:rsid w:val="004E19DD"/>
    <w:rsid w:val="004E2C8D"/>
    <w:rsid w:val="004E2D1F"/>
    <w:rsid w:val="004E2EE6"/>
    <w:rsid w:val="004E6238"/>
    <w:rsid w:val="004E783E"/>
    <w:rsid w:val="004F03A5"/>
    <w:rsid w:val="004F0A3E"/>
    <w:rsid w:val="004F0A42"/>
    <w:rsid w:val="004F105C"/>
    <w:rsid w:val="004F1492"/>
    <w:rsid w:val="004F20F2"/>
    <w:rsid w:val="004F3557"/>
    <w:rsid w:val="004F38D0"/>
    <w:rsid w:val="004F4B8D"/>
    <w:rsid w:val="004F4FC0"/>
    <w:rsid w:val="004F7362"/>
    <w:rsid w:val="004F739E"/>
    <w:rsid w:val="0050607F"/>
    <w:rsid w:val="00506BA0"/>
    <w:rsid w:val="00506D39"/>
    <w:rsid w:val="00507094"/>
    <w:rsid w:val="005108EB"/>
    <w:rsid w:val="00510A01"/>
    <w:rsid w:val="00511950"/>
    <w:rsid w:val="00511993"/>
    <w:rsid w:val="00511FE9"/>
    <w:rsid w:val="0051236E"/>
    <w:rsid w:val="005125CD"/>
    <w:rsid w:val="005136B6"/>
    <w:rsid w:val="00513A6A"/>
    <w:rsid w:val="00516176"/>
    <w:rsid w:val="0051654F"/>
    <w:rsid w:val="00517C93"/>
    <w:rsid w:val="00520028"/>
    <w:rsid w:val="0052011F"/>
    <w:rsid w:val="00520AEB"/>
    <w:rsid w:val="005212B0"/>
    <w:rsid w:val="005227AF"/>
    <w:rsid w:val="00522DA1"/>
    <w:rsid w:val="005231E4"/>
    <w:rsid w:val="00523756"/>
    <w:rsid w:val="00523AA7"/>
    <w:rsid w:val="00524086"/>
    <w:rsid w:val="00526C87"/>
    <w:rsid w:val="00526EE9"/>
    <w:rsid w:val="00530A61"/>
    <w:rsid w:val="00530AC4"/>
    <w:rsid w:val="00531746"/>
    <w:rsid w:val="00531AB8"/>
    <w:rsid w:val="005324D8"/>
    <w:rsid w:val="0053273D"/>
    <w:rsid w:val="00533A2E"/>
    <w:rsid w:val="005344F8"/>
    <w:rsid w:val="00534D97"/>
    <w:rsid w:val="00535334"/>
    <w:rsid w:val="00535BCC"/>
    <w:rsid w:val="00535CCE"/>
    <w:rsid w:val="00535DE6"/>
    <w:rsid w:val="00536232"/>
    <w:rsid w:val="00536411"/>
    <w:rsid w:val="005403A5"/>
    <w:rsid w:val="00541F82"/>
    <w:rsid w:val="00542A00"/>
    <w:rsid w:val="00542CB6"/>
    <w:rsid w:val="005433B5"/>
    <w:rsid w:val="00543957"/>
    <w:rsid w:val="00544999"/>
    <w:rsid w:val="00544B04"/>
    <w:rsid w:val="005458A5"/>
    <w:rsid w:val="00546122"/>
    <w:rsid w:val="005461BA"/>
    <w:rsid w:val="00546A92"/>
    <w:rsid w:val="00546B21"/>
    <w:rsid w:val="00547C53"/>
    <w:rsid w:val="00550C8F"/>
    <w:rsid w:val="0055107B"/>
    <w:rsid w:val="005512E8"/>
    <w:rsid w:val="00551924"/>
    <w:rsid w:val="00551BD9"/>
    <w:rsid w:val="0055259D"/>
    <w:rsid w:val="00552CD8"/>
    <w:rsid w:val="00552D2F"/>
    <w:rsid w:val="005536B8"/>
    <w:rsid w:val="00553C87"/>
    <w:rsid w:val="00554B09"/>
    <w:rsid w:val="00555377"/>
    <w:rsid w:val="0055617A"/>
    <w:rsid w:val="00557059"/>
    <w:rsid w:val="005578BF"/>
    <w:rsid w:val="0056007E"/>
    <w:rsid w:val="00562D3F"/>
    <w:rsid w:val="005642EE"/>
    <w:rsid w:val="005649F2"/>
    <w:rsid w:val="00565020"/>
    <w:rsid w:val="0056508B"/>
    <w:rsid w:val="00566A56"/>
    <w:rsid w:val="00566D86"/>
    <w:rsid w:val="00571034"/>
    <w:rsid w:val="00571389"/>
    <w:rsid w:val="00573CB1"/>
    <w:rsid w:val="005745BE"/>
    <w:rsid w:val="00575053"/>
    <w:rsid w:val="00575654"/>
    <w:rsid w:val="005758EA"/>
    <w:rsid w:val="00575A4D"/>
    <w:rsid w:val="00576091"/>
    <w:rsid w:val="00576197"/>
    <w:rsid w:val="00576630"/>
    <w:rsid w:val="00577BA0"/>
    <w:rsid w:val="0058048E"/>
    <w:rsid w:val="0058131F"/>
    <w:rsid w:val="00581B51"/>
    <w:rsid w:val="00581BD9"/>
    <w:rsid w:val="00582AF0"/>
    <w:rsid w:val="00583388"/>
    <w:rsid w:val="0058364A"/>
    <w:rsid w:val="00583B68"/>
    <w:rsid w:val="0058479A"/>
    <w:rsid w:val="00584E3D"/>
    <w:rsid w:val="0058528E"/>
    <w:rsid w:val="00585C21"/>
    <w:rsid w:val="005863B0"/>
    <w:rsid w:val="00586841"/>
    <w:rsid w:val="005870AD"/>
    <w:rsid w:val="0058757A"/>
    <w:rsid w:val="0058784D"/>
    <w:rsid w:val="00587B86"/>
    <w:rsid w:val="00587CEF"/>
    <w:rsid w:val="0059042C"/>
    <w:rsid w:val="00590CFE"/>
    <w:rsid w:val="005930D9"/>
    <w:rsid w:val="00593419"/>
    <w:rsid w:val="0059345F"/>
    <w:rsid w:val="00593DBF"/>
    <w:rsid w:val="005944E0"/>
    <w:rsid w:val="0059458E"/>
    <w:rsid w:val="00594B7C"/>
    <w:rsid w:val="00594D53"/>
    <w:rsid w:val="005953F6"/>
    <w:rsid w:val="00595A07"/>
    <w:rsid w:val="005965AA"/>
    <w:rsid w:val="00596AB6"/>
    <w:rsid w:val="00596EE3"/>
    <w:rsid w:val="00597154"/>
    <w:rsid w:val="00597172"/>
    <w:rsid w:val="005972F4"/>
    <w:rsid w:val="005A0065"/>
    <w:rsid w:val="005A0D49"/>
    <w:rsid w:val="005A11F8"/>
    <w:rsid w:val="005A2268"/>
    <w:rsid w:val="005A2889"/>
    <w:rsid w:val="005A3DFB"/>
    <w:rsid w:val="005A4139"/>
    <w:rsid w:val="005A473D"/>
    <w:rsid w:val="005A536A"/>
    <w:rsid w:val="005A5B7F"/>
    <w:rsid w:val="005A5EB5"/>
    <w:rsid w:val="005A6855"/>
    <w:rsid w:val="005A68AD"/>
    <w:rsid w:val="005A6D65"/>
    <w:rsid w:val="005B0DAE"/>
    <w:rsid w:val="005B10A6"/>
    <w:rsid w:val="005B1E63"/>
    <w:rsid w:val="005B5F7F"/>
    <w:rsid w:val="005B659A"/>
    <w:rsid w:val="005B69D7"/>
    <w:rsid w:val="005B6F44"/>
    <w:rsid w:val="005B7505"/>
    <w:rsid w:val="005C005A"/>
    <w:rsid w:val="005C06DC"/>
    <w:rsid w:val="005C1E02"/>
    <w:rsid w:val="005C271D"/>
    <w:rsid w:val="005C3E1D"/>
    <w:rsid w:val="005C5330"/>
    <w:rsid w:val="005C5483"/>
    <w:rsid w:val="005C6E2A"/>
    <w:rsid w:val="005D1ED3"/>
    <w:rsid w:val="005D2207"/>
    <w:rsid w:val="005D2639"/>
    <w:rsid w:val="005D2C4B"/>
    <w:rsid w:val="005D3686"/>
    <w:rsid w:val="005D4419"/>
    <w:rsid w:val="005D45C0"/>
    <w:rsid w:val="005D4910"/>
    <w:rsid w:val="005D52D8"/>
    <w:rsid w:val="005D6859"/>
    <w:rsid w:val="005D76E4"/>
    <w:rsid w:val="005D7C20"/>
    <w:rsid w:val="005E0664"/>
    <w:rsid w:val="005E1F0E"/>
    <w:rsid w:val="005E39A9"/>
    <w:rsid w:val="005E3A8A"/>
    <w:rsid w:val="005E3CA7"/>
    <w:rsid w:val="005E3F48"/>
    <w:rsid w:val="005E465F"/>
    <w:rsid w:val="005E4CA0"/>
    <w:rsid w:val="005E78F6"/>
    <w:rsid w:val="005F06E8"/>
    <w:rsid w:val="005F1479"/>
    <w:rsid w:val="005F1662"/>
    <w:rsid w:val="005F3951"/>
    <w:rsid w:val="005F3F90"/>
    <w:rsid w:val="005F4355"/>
    <w:rsid w:val="005F578C"/>
    <w:rsid w:val="005F5C91"/>
    <w:rsid w:val="0060063F"/>
    <w:rsid w:val="00600FDB"/>
    <w:rsid w:val="00601D31"/>
    <w:rsid w:val="00601E7A"/>
    <w:rsid w:val="006027D9"/>
    <w:rsid w:val="00603EA6"/>
    <w:rsid w:val="006045EC"/>
    <w:rsid w:val="00605968"/>
    <w:rsid w:val="00606314"/>
    <w:rsid w:val="0061007C"/>
    <w:rsid w:val="00610B83"/>
    <w:rsid w:val="00610C8A"/>
    <w:rsid w:val="00611535"/>
    <w:rsid w:val="0061335F"/>
    <w:rsid w:val="00613A96"/>
    <w:rsid w:val="0061415D"/>
    <w:rsid w:val="00614C02"/>
    <w:rsid w:val="00614C26"/>
    <w:rsid w:val="0061534B"/>
    <w:rsid w:val="00616577"/>
    <w:rsid w:val="00617424"/>
    <w:rsid w:val="00617A53"/>
    <w:rsid w:val="006209AE"/>
    <w:rsid w:val="006218EE"/>
    <w:rsid w:val="006231CE"/>
    <w:rsid w:val="00623CAA"/>
    <w:rsid w:val="00623DE1"/>
    <w:rsid w:val="00624002"/>
    <w:rsid w:val="00624BAE"/>
    <w:rsid w:val="00625923"/>
    <w:rsid w:val="00626E11"/>
    <w:rsid w:val="00627D70"/>
    <w:rsid w:val="00630191"/>
    <w:rsid w:val="006306FD"/>
    <w:rsid w:val="0063080A"/>
    <w:rsid w:val="00630834"/>
    <w:rsid w:val="00631B7E"/>
    <w:rsid w:val="00631F45"/>
    <w:rsid w:val="00632559"/>
    <w:rsid w:val="006325FB"/>
    <w:rsid w:val="00632AC0"/>
    <w:rsid w:val="00633006"/>
    <w:rsid w:val="00633DB4"/>
    <w:rsid w:val="006347F5"/>
    <w:rsid w:val="00636198"/>
    <w:rsid w:val="006362BB"/>
    <w:rsid w:val="00640399"/>
    <w:rsid w:val="00640713"/>
    <w:rsid w:val="006417E0"/>
    <w:rsid w:val="006436A3"/>
    <w:rsid w:val="00643B00"/>
    <w:rsid w:val="0064469A"/>
    <w:rsid w:val="00644C26"/>
    <w:rsid w:val="00645F87"/>
    <w:rsid w:val="00646D4A"/>
    <w:rsid w:val="00647374"/>
    <w:rsid w:val="00650AC8"/>
    <w:rsid w:val="00650F87"/>
    <w:rsid w:val="00651252"/>
    <w:rsid w:val="00652840"/>
    <w:rsid w:val="00653126"/>
    <w:rsid w:val="006531C9"/>
    <w:rsid w:val="00653AF5"/>
    <w:rsid w:val="00654FDC"/>
    <w:rsid w:val="00655068"/>
    <w:rsid w:val="00655C87"/>
    <w:rsid w:val="00656447"/>
    <w:rsid w:val="00656763"/>
    <w:rsid w:val="006575FF"/>
    <w:rsid w:val="006576FF"/>
    <w:rsid w:val="006579B8"/>
    <w:rsid w:val="006600F7"/>
    <w:rsid w:val="00660A7F"/>
    <w:rsid w:val="00660DA2"/>
    <w:rsid w:val="006623C8"/>
    <w:rsid w:val="00663810"/>
    <w:rsid w:val="006638AD"/>
    <w:rsid w:val="00664BE4"/>
    <w:rsid w:val="006662CA"/>
    <w:rsid w:val="006678AC"/>
    <w:rsid w:val="0067013D"/>
    <w:rsid w:val="00670992"/>
    <w:rsid w:val="00671245"/>
    <w:rsid w:val="006724CA"/>
    <w:rsid w:val="0067746A"/>
    <w:rsid w:val="00677AB5"/>
    <w:rsid w:val="00680812"/>
    <w:rsid w:val="00680EC4"/>
    <w:rsid w:val="006812D3"/>
    <w:rsid w:val="006818B0"/>
    <w:rsid w:val="00682D7F"/>
    <w:rsid w:val="006838E4"/>
    <w:rsid w:val="0068499C"/>
    <w:rsid w:val="006849B4"/>
    <w:rsid w:val="00684A95"/>
    <w:rsid w:val="00686039"/>
    <w:rsid w:val="00687E96"/>
    <w:rsid w:val="00690AC6"/>
    <w:rsid w:val="006915D1"/>
    <w:rsid w:val="00693571"/>
    <w:rsid w:val="00694CFD"/>
    <w:rsid w:val="00694E0C"/>
    <w:rsid w:val="006951BA"/>
    <w:rsid w:val="00695871"/>
    <w:rsid w:val="00696425"/>
    <w:rsid w:val="006A0039"/>
    <w:rsid w:val="006A07BE"/>
    <w:rsid w:val="006A2B1A"/>
    <w:rsid w:val="006A2BF3"/>
    <w:rsid w:val="006A3CCC"/>
    <w:rsid w:val="006A6146"/>
    <w:rsid w:val="006A66CA"/>
    <w:rsid w:val="006A7D0D"/>
    <w:rsid w:val="006B058D"/>
    <w:rsid w:val="006B0D53"/>
    <w:rsid w:val="006B0ED0"/>
    <w:rsid w:val="006B340E"/>
    <w:rsid w:val="006B38AD"/>
    <w:rsid w:val="006B3CDF"/>
    <w:rsid w:val="006B4266"/>
    <w:rsid w:val="006B4755"/>
    <w:rsid w:val="006B523D"/>
    <w:rsid w:val="006B5B2E"/>
    <w:rsid w:val="006B63A9"/>
    <w:rsid w:val="006B67C9"/>
    <w:rsid w:val="006B7660"/>
    <w:rsid w:val="006B78B5"/>
    <w:rsid w:val="006B7EEC"/>
    <w:rsid w:val="006B7F46"/>
    <w:rsid w:val="006C0304"/>
    <w:rsid w:val="006C17CC"/>
    <w:rsid w:val="006C20A6"/>
    <w:rsid w:val="006C220D"/>
    <w:rsid w:val="006C3103"/>
    <w:rsid w:val="006C4460"/>
    <w:rsid w:val="006C47F8"/>
    <w:rsid w:val="006C480A"/>
    <w:rsid w:val="006C4BFD"/>
    <w:rsid w:val="006C5086"/>
    <w:rsid w:val="006C68FC"/>
    <w:rsid w:val="006C6F5D"/>
    <w:rsid w:val="006C7E58"/>
    <w:rsid w:val="006D0501"/>
    <w:rsid w:val="006D0953"/>
    <w:rsid w:val="006D0AD2"/>
    <w:rsid w:val="006D16E1"/>
    <w:rsid w:val="006D354D"/>
    <w:rsid w:val="006D3565"/>
    <w:rsid w:val="006D3A82"/>
    <w:rsid w:val="006D4E5B"/>
    <w:rsid w:val="006D50B8"/>
    <w:rsid w:val="006D5E56"/>
    <w:rsid w:val="006D6162"/>
    <w:rsid w:val="006D6A0C"/>
    <w:rsid w:val="006D6A91"/>
    <w:rsid w:val="006D6B88"/>
    <w:rsid w:val="006D703E"/>
    <w:rsid w:val="006D750D"/>
    <w:rsid w:val="006D77B7"/>
    <w:rsid w:val="006E3AD8"/>
    <w:rsid w:val="006E4C88"/>
    <w:rsid w:val="006E56CB"/>
    <w:rsid w:val="006E5D2A"/>
    <w:rsid w:val="006E68FF"/>
    <w:rsid w:val="006E6990"/>
    <w:rsid w:val="006E6F0E"/>
    <w:rsid w:val="006F0FC9"/>
    <w:rsid w:val="006F11CB"/>
    <w:rsid w:val="006F1F1E"/>
    <w:rsid w:val="006F2336"/>
    <w:rsid w:val="006F263E"/>
    <w:rsid w:val="006F267B"/>
    <w:rsid w:val="006F3C98"/>
    <w:rsid w:val="006F4523"/>
    <w:rsid w:val="006F4FF8"/>
    <w:rsid w:val="006F5153"/>
    <w:rsid w:val="006F52DA"/>
    <w:rsid w:val="006F5E9B"/>
    <w:rsid w:val="006F6A59"/>
    <w:rsid w:val="006F6DA4"/>
    <w:rsid w:val="006F7C55"/>
    <w:rsid w:val="006F7D31"/>
    <w:rsid w:val="00700624"/>
    <w:rsid w:val="00700739"/>
    <w:rsid w:val="0070280D"/>
    <w:rsid w:val="00702B28"/>
    <w:rsid w:val="00702CC2"/>
    <w:rsid w:val="00702E21"/>
    <w:rsid w:val="00702E7D"/>
    <w:rsid w:val="0070343A"/>
    <w:rsid w:val="007037B3"/>
    <w:rsid w:val="00703EAE"/>
    <w:rsid w:val="007042E9"/>
    <w:rsid w:val="00704325"/>
    <w:rsid w:val="00704A55"/>
    <w:rsid w:val="00704A74"/>
    <w:rsid w:val="00705322"/>
    <w:rsid w:val="00705607"/>
    <w:rsid w:val="00706FDF"/>
    <w:rsid w:val="00707F20"/>
    <w:rsid w:val="0071030D"/>
    <w:rsid w:val="0071040B"/>
    <w:rsid w:val="0071089D"/>
    <w:rsid w:val="00711BE5"/>
    <w:rsid w:val="0071262E"/>
    <w:rsid w:val="00712673"/>
    <w:rsid w:val="00712E68"/>
    <w:rsid w:val="0071336F"/>
    <w:rsid w:val="0071344F"/>
    <w:rsid w:val="00713BCE"/>
    <w:rsid w:val="0071422E"/>
    <w:rsid w:val="0071452F"/>
    <w:rsid w:val="007149D1"/>
    <w:rsid w:val="00715E30"/>
    <w:rsid w:val="007168E7"/>
    <w:rsid w:val="007217DC"/>
    <w:rsid w:val="0072218E"/>
    <w:rsid w:val="007232E8"/>
    <w:rsid w:val="0072392F"/>
    <w:rsid w:val="00723EDD"/>
    <w:rsid w:val="00724CD4"/>
    <w:rsid w:val="0072654F"/>
    <w:rsid w:val="007318C4"/>
    <w:rsid w:val="00731A86"/>
    <w:rsid w:val="00731CBC"/>
    <w:rsid w:val="007321FB"/>
    <w:rsid w:val="00733149"/>
    <w:rsid w:val="00733550"/>
    <w:rsid w:val="00733D42"/>
    <w:rsid w:val="00733D6C"/>
    <w:rsid w:val="00733F6F"/>
    <w:rsid w:val="007353C0"/>
    <w:rsid w:val="00735F80"/>
    <w:rsid w:val="007364D5"/>
    <w:rsid w:val="007366ED"/>
    <w:rsid w:val="00736B66"/>
    <w:rsid w:val="007374D1"/>
    <w:rsid w:val="00741B67"/>
    <w:rsid w:val="007420A7"/>
    <w:rsid w:val="00743841"/>
    <w:rsid w:val="00743D7A"/>
    <w:rsid w:val="00743F1E"/>
    <w:rsid w:val="007441D3"/>
    <w:rsid w:val="00744318"/>
    <w:rsid w:val="007444ED"/>
    <w:rsid w:val="00744675"/>
    <w:rsid w:val="0074547F"/>
    <w:rsid w:val="00745E93"/>
    <w:rsid w:val="00747062"/>
    <w:rsid w:val="00747555"/>
    <w:rsid w:val="0075065A"/>
    <w:rsid w:val="00750A0C"/>
    <w:rsid w:val="00750F19"/>
    <w:rsid w:val="0075110D"/>
    <w:rsid w:val="007516B9"/>
    <w:rsid w:val="00751D29"/>
    <w:rsid w:val="00752357"/>
    <w:rsid w:val="00752D18"/>
    <w:rsid w:val="007530A7"/>
    <w:rsid w:val="00753B88"/>
    <w:rsid w:val="00753FC2"/>
    <w:rsid w:val="0075418A"/>
    <w:rsid w:val="00754591"/>
    <w:rsid w:val="0075488A"/>
    <w:rsid w:val="007553DF"/>
    <w:rsid w:val="007559DD"/>
    <w:rsid w:val="00755AB1"/>
    <w:rsid w:val="00755E63"/>
    <w:rsid w:val="0075612B"/>
    <w:rsid w:val="00756F75"/>
    <w:rsid w:val="007576F5"/>
    <w:rsid w:val="00761B5F"/>
    <w:rsid w:val="00761C62"/>
    <w:rsid w:val="00761D0E"/>
    <w:rsid w:val="00763C78"/>
    <w:rsid w:val="0076495A"/>
    <w:rsid w:val="0076519B"/>
    <w:rsid w:val="0076550C"/>
    <w:rsid w:val="00766F56"/>
    <w:rsid w:val="00766FFC"/>
    <w:rsid w:val="00767D55"/>
    <w:rsid w:val="007703BB"/>
    <w:rsid w:val="00771895"/>
    <w:rsid w:val="007725DA"/>
    <w:rsid w:val="00772712"/>
    <w:rsid w:val="00772856"/>
    <w:rsid w:val="00772B2A"/>
    <w:rsid w:val="00773B83"/>
    <w:rsid w:val="00773BB1"/>
    <w:rsid w:val="007748A8"/>
    <w:rsid w:val="0077524D"/>
    <w:rsid w:val="0077529D"/>
    <w:rsid w:val="007756DE"/>
    <w:rsid w:val="00775A53"/>
    <w:rsid w:val="007764DB"/>
    <w:rsid w:val="007778F7"/>
    <w:rsid w:val="00777CDB"/>
    <w:rsid w:val="00781B70"/>
    <w:rsid w:val="00782828"/>
    <w:rsid w:val="00782BA8"/>
    <w:rsid w:val="00783C00"/>
    <w:rsid w:val="00783FAC"/>
    <w:rsid w:val="007845BC"/>
    <w:rsid w:val="00784F8F"/>
    <w:rsid w:val="00785782"/>
    <w:rsid w:val="0078621F"/>
    <w:rsid w:val="007878A8"/>
    <w:rsid w:val="00787A68"/>
    <w:rsid w:val="00787B7D"/>
    <w:rsid w:val="007907E9"/>
    <w:rsid w:val="00790A50"/>
    <w:rsid w:val="00791324"/>
    <w:rsid w:val="00791A21"/>
    <w:rsid w:val="007927C9"/>
    <w:rsid w:val="007957E3"/>
    <w:rsid w:val="00796937"/>
    <w:rsid w:val="00797D50"/>
    <w:rsid w:val="007A1038"/>
    <w:rsid w:val="007A2D8A"/>
    <w:rsid w:val="007A4821"/>
    <w:rsid w:val="007A4981"/>
    <w:rsid w:val="007A5F86"/>
    <w:rsid w:val="007A68C4"/>
    <w:rsid w:val="007B02CB"/>
    <w:rsid w:val="007B1888"/>
    <w:rsid w:val="007B1AC7"/>
    <w:rsid w:val="007B20DD"/>
    <w:rsid w:val="007B3109"/>
    <w:rsid w:val="007B3D4F"/>
    <w:rsid w:val="007B648C"/>
    <w:rsid w:val="007B64DE"/>
    <w:rsid w:val="007B6D9C"/>
    <w:rsid w:val="007B6F10"/>
    <w:rsid w:val="007B7B7E"/>
    <w:rsid w:val="007C20AE"/>
    <w:rsid w:val="007C2CEC"/>
    <w:rsid w:val="007C3A65"/>
    <w:rsid w:val="007C4826"/>
    <w:rsid w:val="007C50CD"/>
    <w:rsid w:val="007C5A86"/>
    <w:rsid w:val="007C6526"/>
    <w:rsid w:val="007C792C"/>
    <w:rsid w:val="007C7A5E"/>
    <w:rsid w:val="007C7B6E"/>
    <w:rsid w:val="007D0427"/>
    <w:rsid w:val="007D10E7"/>
    <w:rsid w:val="007D12CA"/>
    <w:rsid w:val="007D149B"/>
    <w:rsid w:val="007D32E0"/>
    <w:rsid w:val="007D3A31"/>
    <w:rsid w:val="007E2079"/>
    <w:rsid w:val="007E2A3C"/>
    <w:rsid w:val="007E360F"/>
    <w:rsid w:val="007E4B0F"/>
    <w:rsid w:val="007E54E0"/>
    <w:rsid w:val="007E6B4A"/>
    <w:rsid w:val="007E6E88"/>
    <w:rsid w:val="007E7587"/>
    <w:rsid w:val="007E7FC7"/>
    <w:rsid w:val="007F0D6C"/>
    <w:rsid w:val="007F3446"/>
    <w:rsid w:val="007F3CFC"/>
    <w:rsid w:val="007F538C"/>
    <w:rsid w:val="007F580E"/>
    <w:rsid w:val="007F60BF"/>
    <w:rsid w:val="007F6707"/>
    <w:rsid w:val="007F6DBF"/>
    <w:rsid w:val="007F78C4"/>
    <w:rsid w:val="007F7B1E"/>
    <w:rsid w:val="00800F35"/>
    <w:rsid w:val="00801E09"/>
    <w:rsid w:val="008040A9"/>
    <w:rsid w:val="008042DB"/>
    <w:rsid w:val="00806495"/>
    <w:rsid w:val="00806C0E"/>
    <w:rsid w:val="00807709"/>
    <w:rsid w:val="008106F2"/>
    <w:rsid w:val="00812AAE"/>
    <w:rsid w:val="00812F3D"/>
    <w:rsid w:val="0081377E"/>
    <w:rsid w:val="00813CE4"/>
    <w:rsid w:val="0081405D"/>
    <w:rsid w:val="00814902"/>
    <w:rsid w:val="00815BE3"/>
    <w:rsid w:val="00815C13"/>
    <w:rsid w:val="008160FF"/>
    <w:rsid w:val="008170EA"/>
    <w:rsid w:val="008176BE"/>
    <w:rsid w:val="0081772D"/>
    <w:rsid w:val="008202E5"/>
    <w:rsid w:val="0082080A"/>
    <w:rsid w:val="00820813"/>
    <w:rsid w:val="008208DB"/>
    <w:rsid w:val="00820EC0"/>
    <w:rsid w:val="00821582"/>
    <w:rsid w:val="00821FD5"/>
    <w:rsid w:val="00822972"/>
    <w:rsid w:val="008236E2"/>
    <w:rsid w:val="00823750"/>
    <w:rsid w:val="00823F18"/>
    <w:rsid w:val="0082487C"/>
    <w:rsid w:val="008273B8"/>
    <w:rsid w:val="00827406"/>
    <w:rsid w:val="00830278"/>
    <w:rsid w:val="0083097E"/>
    <w:rsid w:val="0083184D"/>
    <w:rsid w:val="00831CB3"/>
    <w:rsid w:val="0083242E"/>
    <w:rsid w:val="0083248E"/>
    <w:rsid w:val="00832B4C"/>
    <w:rsid w:val="00833654"/>
    <w:rsid w:val="008357CB"/>
    <w:rsid w:val="00836395"/>
    <w:rsid w:val="008367BE"/>
    <w:rsid w:val="00840236"/>
    <w:rsid w:val="00842F92"/>
    <w:rsid w:val="00844078"/>
    <w:rsid w:val="00844151"/>
    <w:rsid w:val="0084529D"/>
    <w:rsid w:val="00845A06"/>
    <w:rsid w:val="00845FCA"/>
    <w:rsid w:val="00846C23"/>
    <w:rsid w:val="00847DF3"/>
    <w:rsid w:val="00847F1C"/>
    <w:rsid w:val="00847FDA"/>
    <w:rsid w:val="0085062B"/>
    <w:rsid w:val="00851EFD"/>
    <w:rsid w:val="00852466"/>
    <w:rsid w:val="00852DE7"/>
    <w:rsid w:val="008531CD"/>
    <w:rsid w:val="00853709"/>
    <w:rsid w:val="00853F92"/>
    <w:rsid w:val="008548F3"/>
    <w:rsid w:val="0085574E"/>
    <w:rsid w:val="00855C58"/>
    <w:rsid w:val="00856624"/>
    <w:rsid w:val="0085738B"/>
    <w:rsid w:val="00860587"/>
    <w:rsid w:val="008607C5"/>
    <w:rsid w:val="00860A94"/>
    <w:rsid w:val="00861482"/>
    <w:rsid w:val="00862329"/>
    <w:rsid w:val="008623B9"/>
    <w:rsid w:val="00862740"/>
    <w:rsid w:val="0086350F"/>
    <w:rsid w:val="00863C58"/>
    <w:rsid w:val="00863F67"/>
    <w:rsid w:val="0086446F"/>
    <w:rsid w:val="008647FC"/>
    <w:rsid w:val="008655FA"/>
    <w:rsid w:val="008668FA"/>
    <w:rsid w:val="00866EDC"/>
    <w:rsid w:val="0086758B"/>
    <w:rsid w:val="00867DCF"/>
    <w:rsid w:val="00870826"/>
    <w:rsid w:val="00870B83"/>
    <w:rsid w:val="00871809"/>
    <w:rsid w:val="0087218C"/>
    <w:rsid w:val="00872EBF"/>
    <w:rsid w:val="008736D5"/>
    <w:rsid w:val="0087466C"/>
    <w:rsid w:val="00874676"/>
    <w:rsid w:val="008746FF"/>
    <w:rsid w:val="00877E97"/>
    <w:rsid w:val="0088021E"/>
    <w:rsid w:val="008813D0"/>
    <w:rsid w:val="00881AAF"/>
    <w:rsid w:val="00882063"/>
    <w:rsid w:val="008820E0"/>
    <w:rsid w:val="008821DA"/>
    <w:rsid w:val="0088331C"/>
    <w:rsid w:val="008834BE"/>
    <w:rsid w:val="00883AD5"/>
    <w:rsid w:val="008861E8"/>
    <w:rsid w:val="00887EF6"/>
    <w:rsid w:val="008907BB"/>
    <w:rsid w:val="00890A2C"/>
    <w:rsid w:val="00890D4C"/>
    <w:rsid w:val="00892021"/>
    <w:rsid w:val="00897245"/>
    <w:rsid w:val="00897B30"/>
    <w:rsid w:val="008A0463"/>
    <w:rsid w:val="008A1164"/>
    <w:rsid w:val="008A1BA6"/>
    <w:rsid w:val="008A1F65"/>
    <w:rsid w:val="008A33D9"/>
    <w:rsid w:val="008A3718"/>
    <w:rsid w:val="008A51C7"/>
    <w:rsid w:val="008A6113"/>
    <w:rsid w:val="008A624E"/>
    <w:rsid w:val="008A75FD"/>
    <w:rsid w:val="008A7882"/>
    <w:rsid w:val="008A7B61"/>
    <w:rsid w:val="008B01D3"/>
    <w:rsid w:val="008B097B"/>
    <w:rsid w:val="008B2454"/>
    <w:rsid w:val="008B2871"/>
    <w:rsid w:val="008B2942"/>
    <w:rsid w:val="008B2CD3"/>
    <w:rsid w:val="008B3590"/>
    <w:rsid w:val="008B3AC9"/>
    <w:rsid w:val="008B4106"/>
    <w:rsid w:val="008B51FD"/>
    <w:rsid w:val="008B5A0F"/>
    <w:rsid w:val="008B6316"/>
    <w:rsid w:val="008B70BD"/>
    <w:rsid w:val="008B73E2"/>
    <w:rsid w:val="008C15CA"/>
    <w:rsid w:val="008C17E1"/>
    <w:rsid w:val="008C1A89"/>
    <w:rsid w:val="008C261E"/>
    <w:rsid w:val="008C285B"/>
    <w:rsid w:val="008C2AB5"/>
    <w:rsid w:val="008C2EE2"/>
    <w:rsid w:val="008C2F9A"/>
    <w:rsid w:val="008C49CF"/>
    <w:rsid w:val="008C51B5"/>
    <w:rsid w:val="008C61AD"/>
    <w:rsid w:val="008C68A9"/>
    <w:rsid w:val="008C6BCF"/>
    <w:rsid w:val="008C70E5"/>
    <w:rsid w:val="008C7E1F"/>
    <w:rsid w:val="008D0681"/>
    <w:rsid w:val="008D0E90"/>
    <w:rsid w:val="008D1236"/>
    <w:rsid w:val="008D24FA"/>
    <w:rsid w:val="008D2C6F"/>
    <w:rsid w:val="008D39C6"/>
    <w:rsid w:val="008D3E52"/>
    <w:rsid w:val="008D443E"/>
    <w:rsid w:val="008D4914"/>
    <w:rsid w:val="008D4CC9"/>
    <w:rsid w:val="008D58A4"/>
    <w:rsid w:val="008D5DB3"/>
    <w:rsid w:val="008D5FD2"/>
    <w:rsid w:val="008D6210"/>
    <w:rsid w:val="008D6C42"/>
    <w:rsid w:val="008E209A"/>
    <w:rsid w:val="008E2FAD"/>
    <w:rsid w:val="008E672A"/>
    <w:rsid w:val="008E6D0D"/>
    <w:rsid w:val="008E7FA2"/>
    <w:rsid w:val="008F27B8"/>
    <w:rsid w:val="008F2FC3"/>
    <w:rsid w:val="008F45A8"/>
    <w:rsid w:val="008F4A66"/>
    <w:rsid w:val="008F5028"/>
    <w:rsid w:val="008F54ED"/>
    <w:rsid w:val="008F64B3"/>
    <w:rsid w:val="008F6F32"/>
    <w:rsid w:val="008F717B"/>
    <w:rsid w:val="008F76EB"/>
    <w:rsid w:val="008F7C26"/>
    <w:rsid w:val="008F7DE5"/>
    <w:rsid w:val="00901024"/>
    <w:rsid w:val="009015F8"/>
    <w:rsid w:val="009024E3"/>
    <w:rsid w:val="00903CE1"/>
    <w:rsid w:val="00904AA0"/>
    <w:rsid w:val="00906273"/>
    <w:rsid w:val="00907DA1"/>
    <w:rsid w:val="0091166D"/>
    <w:rsid w:val="00912FFC"/>
    <w:rsid w:val="00913698"/>
    <w:rsid w:val="00915173"/>
    <w:rsid w:val="00915BAA"/>
    <w:rsid w:val="00921014"/>
    <w:rsid w:val="0092226C"/>
    <w:rsid w:val="00922303"/>
    <w:rsid w:val="00922996"/>
    <w:rsid w:val="00922C17"/>
    <w:rsid w:val="00925008"/>
    <w:rsid w:val="009252F4"/>
    <w:rsid w:val="009266E0"/>
    <w:rsid w:val="00926DB3"/>
    <w:rsid w:val="0092762F"/>
    <w:rsid w:val="009278D7"/>
    <w:rsid w:val="00927E1D"/>
    <w:rsid w:val="00932361"/>
    <w:rsid w:val="00932651"/>
    <w:rsid w:val="00932963"/>
    <w:rsid w:val="00932E86"/>
    <w:rsid w:val="00933199"/>
    <w:rsid w:val="009349BA"/>
    <w:rsid w:val="00934B2A"/>
    <w:rsid w:val="0093500A"/>
    <w:rsid w:val="00935203"/>
    <w:rsid w:val="00936BFB"/>
    <w:rsid w:val="0094042E"/>
    <w:rsid w:val="00940BB9"/>
    <w:rsid w:val="00941550"/>
    <w:rsid w:val="00941D2A"/>
    <w:rsid w:val="00942DEA"/>
    <w:rsid w:val="00943E26"/>
    <w:rsid w:val="00944BEA"/>
    <w:rsid w:val="00946335"/>
    <w:rsid w:val="009477AA"/>
    <w:rsid w:val="00950107"/>
    <w:rsid w:val="009509E9"/>
    <w:rsid w:val="0095182A"/>
    <w:rsid w:val="0095264A"/>
    <w:rsid w:val="00952895"/>
    <w:rsid w:val="00952EB6"/>
    <w:rsid w:val="0095458A"/>
    <w:rsid w:val="00954975"/>
    <w:rsid w:val="00955C4E"/>
    <w:rsid w:val="00956710"/>
    <w:rsid w:val="00956DB7"/>
    <w:rsid w:val="00956DFC"/>
    <w:rsid w:val="00956EF8"/>
    <w:rsid w:val="00961727"/>
    <w:rsid w:val="0096191A"/>
    <w:rsid w:val="00961B2F"/>
    <w:rsid w:val="009627BD"/>
    <w:rsid w:val="00962867"/>
    <w:rsid w:val="00962918"/>
    <w:rsid w:val="00962F0E"/>
    <w:rsid w:val="00963A88"/>
    <w:rsid w:val="009650EF"/>
    <w:rsid w:val="009656FC"/>
    <w:rsid w:val="009660F6"/>
    <w:rsid w:val="009669CE"/>
    <w:rsid w:val="009674E1"/>
    <w:rsid w:val="009708BA"/>
    <w:rsid w:val="00971266"/>
    <w:rsid w:val="0097189D"/>
    <w:rsid w:val="009719D1"/>
    <w:rsid w:val="00971BBA"/>
    <w:rsid w:val="00971BF0"/>
    <w:rsid w:val="00972732"/>
    <w:rsid w:val="00972A49"/>
    <w:rsid w:val="00973D39"/>
    <w:rsid w:val="0097404E"/>
    <w:rsid w:val="00974123"/>
    <w:rsid w:val="009741F1"/>
    <w:rsid w:val="00975041"/>
    <w:rsid w:val="00975370"/>
    <w:rsid w:val="0097577E"/>
    <w:rsid w:val="009767D1"/>
    <w:rsid w:val="00976E80"/>
    <w:rsid w:val="009771B4"/>
    <w:rsid w:val="0097769A"/>
    <w:rsid w:val="009802BA"/>
    <w:rsid w:val="009808C8"/>
    <w:rsid w:val="00980E4E"/>
    <w:rsid w:val="00982397"/>
    <w:rsid w:val="00982880"/>
    <w:rsid w:val="009828C4"/>
    <w:rsid w:val="00983011"/>
    <w:rsid w:val="00983B54"/>
    <w:rsid w:val="00985286"/>
    <w:rsid w:val="00987205"/>
    <w:rsid w:val="00987A08"/>
    <w:rsid w:val="0099063D"/>
    <w:rsid w:val="009915AC"/>
    <w:rsid w:val="009919FF"/>
    <w:rsid w:val="009928A1"/>
    <w:rsid w:val="00992DB4"/>
    <w:rsid w:val="009930B9"/>
    <w:rsid w:val="009934B4"/>
    <w:rsid w:val="00993C68"/>
    <w:rsid w:val="00993CEA"/>
    <w:rsid w:val="00995A30"/>
    <w:rsid w:val="00995E26"/>
    <w:rsid w:val="00995F03"/>
    <w:rsid w:val="00996418"/>
    <w:rsid w:val="00996696"/>
    <w:rsid w:val="00996EE9"/>
    <w:rsid w:val="0099784E"/>
    <w:rsid w:val="00997A03"/>
    <w:rsid w:val="00997E67"/>
    <w:rsid w:val="009A0400"/>
    <w:rsid w:val="009A0CE5"/>
    <w:rsid w:val="009A1578"/>
    <w:rsid w:val="009A1E5C"/>
    <w:rsid w:val="009A2F2A"/>
    <w:rsid w:val="009A3DA6"/>
    <w:rsid w:val="009A4973"/>
    <w:rsid w:val="009A4B7F"/>
    <w:rsid w:val="009A4DA1"/>
    <w:rsid w:val="009A5390"/>
    <w:rsid w:val="009A567E"/>
    <w:rsid w:val="009A58E2"/>
    <w:rsid w:val="009A5F60"/>
    <w:rsid w:val="009A6632"/>
    <w:rsid w:val="009A76E4"/>
    <w:rsid w:val="009B05C0"/>
    <w:rsid w:val="009B0871"/>
    <w:rsid w:val="009B135F"/>
    <w:rsid w:val="009B16F8"/>
    <w:rsid w:val="009B253F"/>
    <w:rsid w:val="009B298D"/>
    <w:rsid w:val="009B38A8"/>
    <w:rsid w:val="009B4647"/>
    <w:rsid w:val="009B5D51"/>
    <w:rsid w:val="009B6242"/>
    <w:rsid w:val="009B65AF"/>
    <w:rsid w:val="009B6ACA"/>
    <w:rsid w:val="009C16D0"/>
    <w:rsid w:val="009C1898"/>
    <w:rsid w:val="009C1A41"/>
    <w:rsid w:val="009C1D9B"/>
    <w:rsid w:val="009C2F50"/>
    <w:rsid w:val="009C38B8"/>
    <w:rsid w:val="009C3C05"/>
    <w:rsid w:val="009C3D6A"/>
    <w:rsid w:val="009C4763"/>
    <w:rsid w:val="009C47EF"/>
    <w:rsid w:val="009C5E93"/>
    <w:rsid w:val="009C7A02"/>
    <w:rsid w:val="009D0639"/>
    <w:rsid w:val="009D3098"/>
    <w:rsid w:val="009D32C7"/>
    <w:rsid w:val="009D426A"/>
    <w:rsid w:val="009D5AA9"/>
    <w:rsid w:val="009D5CEF"/>
    <w:rsid w:val="009E1383"/>
    <w:rsid w:val="009E1521"/>
    <w:rsid w:val="009E3201"/>
    <w:rsid w:val="009E380D"/>
    <w:rsid w:val="009E44F0"/>
    <w:rsid w:val="009E4553"/>
    <w:rsid w:val="009E7893"/>
    <w:rsid w:val="009F104A"/>
    <w:rsid w:val="009F1A86"/>
    <w:rsid w:val="009F1F1B"/>
    <w:rsid w:val="009F203D"/>
    <w:rsid w:val="009F22E0"/>
    <w:rsid w:val="009F2440"/>
    <w:rsid w:val="009F2510"/>
    <w:rsid w:val="009F27BE"/>
    <w:rsid w:val="009F30C3"/>
    <w:rsid w:val="009F386A"/>
    <w:rsid w:val="009F4801"/>
    <w:rsid w:val="009F4EEC"/>
    <w:rsid w:val="009F50D7"/>
    <w:rsid w:val="009F52E8"/>
    <w:rsid w:val="009F6673"/>
    <w:rsid w:val="009F6C00"/>
    <w:rsid w:val="009F7C3C"/>
    <w:rsid w:val="009F7CDD"/>
    <w:rsid w:val="009F7FE5"/>
    <w:rsid w:val="00A003FC"/>
    <w:rsid w:val="00A007F8"/>
    <w:rsid w:val="00A00FE0"/>
    <w:rsid w:val="00A0206D"/>
    <w:rsid w:val="00A02EE8"/>
    <w:rsid w:val="00A0368F"/>
    <w:rsid w:val="00A0376E"/>
    <w:rsid w:val="00A03C0D"/>
    <w:rsid w:val="00A04006"/>
    <w:rsid w:val="00A0421D"/>
    <w:rsid w:val="00A042E8"/>
    <w:rsid w:val="00A0640D"/>
    <w:rsid w:val="00A06741"/>
    <w:rsid w:val="00A07DA7"/>
    <w:rsid w:val="00A11E3E"/>
    <w:rsid w:val="00A12FDE"/>
    <w:rsid w:val="00A130D6"/>
    <w:rsid w:val="00A13B3D"/>
    <w:rsid w:val="00A14B2D"/>
    <w:rsid w:val="00A14EEC"/>
    <w:rsid w:val="00A157AC"/>
    <w:rsid w:val="00A15A75"/>
    <w:rsid w:val="00A16048"/>
    <w:rsid w:val="00A16FAD"/>
    <w:rsid w:val="00A16FF1"/>
    <w:rsid w:val="00A20DB6"/>
    <w:rsid w:val="00A217DD"/>
    <w:rsid w:val="00A21CF3"/>
    <w:rsid w:val="00A22ACF"/>
    <w:rsid w:val="00A23B26"/>
    <w:rsid w:val="00A23E97"/>
    <w:rsid w:val="00A24017"/>
    <w:rsid w:val="00A24A81"/>
    <w:rsid w:val="00A2513F"/>
    <w:rsid w:val="00A25811"/>
    <w:rsid w:val="00A25A41"/>
    <w:rsid w:val="00A26823"/>
    <w:rsid w:val="00A27382"/>
    <w:rsid w:val="00A27D7B"/>
    <w:rsid w:val="00A30938"/>
    <w:rsid w:val="00A30DD3"/>
    <w:rsid w:val="00A31934"/>
    <w:rsid w:val="00A329BA"/>
    <w:rsid w:val="00A32BFE"/>
    <w:rsid w:val="00A32FDF"/>
    <w:rsid w:val="00A334F4"/>
    <w:rsid w:val="00A33A85"/>
    <w:rsid w:val="00A33B5C"/>
    <w:rsid w:val="00A3445C"/>
    <w:rsid w:val="00A34ADB"/>
    <w:rsid w:val="00A3646D"/>
    <w:rsid w:val="00A37F89"/>
    <w:rsid w:val="00A4175D"/>
    <w:rsid w:val="00A41CA4"/>
    <w:rsid w:val="00A426AB"/>
    <w:rsid w:val="00A43E31"/>
    <w:rsid w:val="00A447B9"/>
    <w:rsid w:val="00A447EF"/>
    <w:rsid w:val="00A44D16"/>
    <w:rsid w:val="00A476C1"/>
    <w:rsid w:val="00A47936"/>
    <w:rsid w:val="00A479E2"/>
    <w:rsid w:val="00A47D5D"/>
    <w:rsid w:val="00A5081D"/>
    <w:rsid w:val="00A51A66"/>
    <w:rsid w:val="00A51B89"/>
    <w:rsid w:val="00A51F52"/>
    <w:rsid w:val="00A5247C"/>
    <w:rsid w:val="00A52562"/>
    <w:rsid w:val="00A52739"/>
    <w:rsid w:val="00A52846"/>
    <w:rsid w:val="00A53A7B"/>
    <w:rsid w:val="00A55147"/>
    <w:rsid w:val="00A5552A"/>
    <w:rsid w:val="00A561BF"/>
    <w:rsid w:val="00A579EF"/>
    <w:rsid w:val="00A57E99"/>
    <w:rsid w:val="00A6021D"/>
    <w:rsid w:val="00A605FD"/>
    <w:rsid w:val="00A619D1"/>
    <w:rsid w:val="00A63A5B"/>
    <w:rsid w:val="00A63E46"/>
    <w:rsid w:val="00A640D7"/>
    <w:rsid w:val="00A64E60"/>
    <w:rsid w:val="00A65822"/>
    <w:rsid w:val="00A658B6"/>
    <w:rsid w:val="00A65AF8"/>
    <w:rsid w:val="00A67183"/>
    <w:rsid w:val="00A6724D"/>
    <w:rsid w:val="00A67329"/>
    <w:rsid w:val="00A67BF0"/>
    <w:rsid w:val="00A7237A"/>
    <w:rsid w:val="00A72A00"/>
    <w:rsid w:val="00A76165"/>
    <w:rsid w:val="00A7642F"/>
    <w:rsid w:val="00A76AED"/>
    <w:rsid w:val="00A80618"/>
    <w:rsid w:val="00A816C5"/>
    <w:rsid w:val="00A819F7"/>
    <w:rsid w:val="00A81AEE"/>
    <w:rsid w:val="00A820E8"/>
    <w:rsid w:val="00A82575"/>
    <w:rsid w:val="00A826B1"/>
    <w:rsid w:val="00A82866"/>
    <w:rsid w:val="00A8440A"/>
    <w:rsid w:val="00A8478C"/>
    <w:rsid w:val="00A84F73"/>
    <w:rsid w:val="00A90132"/>
    <w:rsid w:val="00A90866"/>
    <w:rsid w:val="00A91270"/>
    <w:rsid w:val="00A91E90"/>
    <w:rsid w:val="00A92D90"/>
    <w:rsid w:val="00A9389D"/>
    <w:rsid w:val="00A93D77"/>
    <w:rsid w:val="00A940F8"/>
    <w:rsid w:val="00A94564"/>
    <w:rsid w:val="00A952C0"/>
    <w:rsid w:val="00A955BF"/>
    <w:rsid w:val="00A958B3"/>
    <w:rsid w:val="00A95949"/>
    <w:rsid w:val="00A96B1A"/>
    <w:rsid w:val="00A96EBA"/>
    <w:rsid w:val="00A976DF"/>
    <w:rsid w:val="00A97E81"/>
    <w:rsid w:val="00AA07DE"/>
    <w:rsid w:val="00AA0B64"/>
    <w:rsid w:val="00AA0F36"/>
    <w:rsid w:val="00AA36BB"/>
    <w:rsid w:val="00AA379D"/>
    <w:rsid w:val="00AA3E54"/>
    <w:rsid w:val="00AA3E73"/>
    <w:rsid w:val="00AA46F9"/>
    <w:rsid w:val="00AA535C"/>
    <w:rsid w:val="00AA5407"/>
    <w:rsid w:val="00AA5C98"/>
    <w:rsid w:val="00AB0189"/>
    <w:rsid w:val="00AB0359"/>
    <w:rsid w:val="00AB0962"/>
    <w:rsid w:val="00AB11A5"/>
    <w:rsid w:val="00AB28D1"/>
    <w:rsid w:val="00AB29C2"/>
    <w:rsid w:val="00AB4446"/>
    <w:rsid w:val="00AB4C20"/>
    <w:rsid w:val="00AB4F54"/>
    <w:rsid w:val="00AB680C"/>
    <w:rsid w:val="00AB796A"/>
    <w:rsid w:val="00AB7A4B"/>
    <w:rsid w:val="00AB7AF4"/>
    <w:rsid w:val="00AC0764"/>
    <w:rsid w:val="00AC0CC4"/>
    <w:rsid w:val="00AC3C24"/>
    <w:rsid w:val="00AC3E4F"/>
    <w:rsid w:val="00AC4DFB"/>
    <w:rsid w:val="00AC4E32"/>
    <w:rsid w:val="00AC4F22"/>
    <w:rsid w:val="00AC5161"/>
    <w:rsid w:val="00AC54DE"/>
    <w:rsid w:val="00AC5545"/>
    <w:rsid w:val="00AC5A67"/>
    <w:rsid w:val="00AC5C91"/>
    <w:rsid w:val="00AC7019"/>
    <w:rsid w:val="00AC78AE"/>
    <w:rsid w:val="00AC7BCF"/>
    <w:rsid w:val="00AD0B35"/>
    <w:rsid w:val="00AD2121"/>
    <w:rsid w:val="00AD2319"/>
    <w:rsid w:val="00AD4F78"/>
    <w:rsid w:val="00AD515F"/>
    <w:rsid w:val="00AD622B"/>
    <w:rsid w:val="00AD6920"/>
    <w:rsid w:val="00AD7B00"/>
    <w:rsid w:val="00AD7DB3"/>
    <w:rsid w:val="00AE00FD"/>
    <w:rsid w:val="00AE0ADC"/>
    <w:rsid w:val="00AE13BE"/>
    <w:rsid w:val="00AE1706"/>
    <w:rsid w:val="00AE5333"/>
    <w:rsid w:val="00AE580F"/>
    <w:rsid w:val="00AE5F0B"/>
    <w:rsid w:val="00AE6B80"/>
    <w:rsid w:val="00AE760B"/>
    <w:rsid w:val="00AE7B85"/>
    <w:rsid w:val="00AE7FA7"/>
    <w:rsid w:val="00AF0EB6"/>
    <w:rsid w:val="00AF1952"/>
    <w:rsid w:val="00AF1C2C"/>
    <w:rsid w:val="00AF3A1E"/>
    <w:rsid w:val="00AF5072"/>
    <w:rsid w:val="00AF5220"/>
    <w:rsid w:val="00AF5951"/>
    <w:rsid w:val="00AF602C"/>
    <w:rsid w:val="00AF639C"/>
    <w:rsid w:val="00AF6C01"/>
    <w:rsid w:val="00AF7675"/>
    <w:rsid w:val="00AF7CF5"/>
    <w:rsid w:val="00B000EA"/>
    <w:rsid w:val="00B01093"/>
    <w:rsid w:val="00B02750"/>
    <w:rsid w:val="00B0383C"/>
    <w:rsid w:val="00B03FCB"/>
    <w:rsid w:val="00B04575"/>
    <w:rsid w:val="00B055D1"/>
    <w:rsid w:val="00B070C8"/>
    <w:rsid w:val="00B10036"/>
    <w:rsid w:val="00B12B13"/>
    <w:rsid w:val="00B1457A"/>
    <w:rsid w:val="00B15E0D"/>
    <w:rsid w:val="00B15F1A"/>
    <w:rsid w:val="00B20D04"/>
    <w:rsid w:val="00B21503"/>
    <w:rsid w:val="00B21BAA"/>
    <w:rsid w:val="00B21D88"/>
    <w:rsid w:val="00B2203D"/>
    <w:rsid w:val="00B2241A"/>
    <w:rsid w:val="00B2292A"/>
    <w:rsid w:val="00B236F0"/>
    <w:rsid w:val="00B23CC4"/>
    <w:rsid w:val="00B2495D"/>
    <w:rsid w:val="00B24D67"/>
    <w:rsid w:val="00B256F3"/>
    <w:rsid w:val="00B25BD8"/>
    <w:rsid w:val="00B261B4"/>
    <w:rsid w:val="00B26B50"/>
    <w:rsid w:val="00B26DF4"/>
    <w:rsid w:val="00B27755"/>
    <w:rsid w:val="00B3090E"/>
    <w:rsid w:val="00B309E4"/>
    <w:rsid w:val="00B30EFB"/>
    <w:rsid w:val="00B3111E"/>
    <w:rsid w:val="00B319DD"/>
    <w:rsid w:val="00B31D6B"/>
    <w:rsid w:val="00B32EBB"/>
    <w:rsid w:val="00B34698"/>
    <w:rsid w:val="00B35484"/>
    <w:rsid w:val="00B362D7"/>
    <w:rsid w:val="00B36649"/>
    <w:rsid w:val="00B40977"/>
    <w:rsid w:val="00B40A1B"/>
    <w:rsid w:val="00B42622"/>
    <w:rsid w:val="00B427EC"/>
    <w:rsid w:val="00B42A85"/>
    <w:rsid w:val="00B4469E"/>
    <w:rsid w:val="00B456B7"/>
    <w:rsid w:val="00B45843"/>
    <w:rsid w:val="00B45ECF"/>
    <w:rsid w:val="00B45FA5"/>
    <w:rsid w:val="00B46310"/>
    <w:rsid w:val="00B473A4"/>
    <w:rsid w:val="00B50AE2"/>
    <w:rsid w:val="00B5104A"/>
    <w:rsid w:val="00B51EB5"/>
    <w:rsid w:val="00B528C5"/>
    <w:rsid w:val="00B52BD5"/>
    <w:rsid w:val="00B539FE"/>
    <w:rsid w:val="00B5416C"/>
    <w:rsid w:val="00B5420F"/>
    <w:rsid w:val="00B549D7"/>
    <w:rsid w:val="00B55119"/>
    <w:rsid w:val="00B551EA"/>
    <w:rsid w:val="00B568DB"/>
    <w:rsid w:val="00B5737E"/>
    <w:rsid w:val="00B57D73"/>
    <w:rsid w:val="00B60048"/>
    <w:rsid w:val="00B60A37"/>
    <w:rsid w:val="00B60CFD"/>
    <w:rsid w:val="00B616B5"/>
    <w:rsid w:val="00B6267D"/>
    <w:rsid w:val="00B62CA1"/>
    <w:rsid w:val="00B64324"/>
    <w:rsid w:val="00B65B93"/>
    <w:rsid w:val="00B6687B"/>
    <w:rsid w:val="00B66F53"/>
    <w:rsid w:val="00B6700E"/>
    <w:rsid w:val="00B67AC7"/>
    <w:rsid w:val="00B67D55"/>
    <w:rsid w:val="00B703A9"/>
    <w:rsid w:val="00B70B68"/>
    <w:rsid w:val="00B7150B"/>
    <w:rsid w:val="00B71F47"/>
    <w:rsid w:val="00B729D6"/>
    <w:rsid w:val="00B73C98"/>
    <w:rsid w:val="00B73D07"/>
    <w:rsid w:val="00B73DD2"/>
    <w:rsid w:val="00B77606"/>
    <w:rsid w:val="00B77BA6"/>
    <w:rsid w:val="00B805F4"/>
    <w:rsid w:val="00B80A82"/>
    <w:rsid w:val="00B81012"/>
    <w:rsid w:val="00B813AE"/>
    <w:rsid w:val="00B81DCF"/>
    <w:rsid w:val="00B84826"/>
    <w:rsid w:val="00B8493C"/>
    <w:rsid w:val="00B84E24"/>
    <w:rsid w:val="00B85349"/>
    <w:rsid w:val="00B8605C"/>
    <w:rsid w:val="00B865C6"/>
    <w:rsid w:val="00B900D6"/>
    <w:rsid w:val="00B91523"/>
    <w:rsid w:val="00B91B12"/>
    <w:rsid w:val="00B92AB7"/>
    <w:rsid w:val="00B92FCA"/>
    <w:rsid w:val="00B951E0"/>
    <w:rsid w:val="00B96373"/>
    <w:rsid w:val="00B9717B"/>
    <w:rsid w:val="00BA0965"/>
    <w:rsid w:val="00BA161D"/>
    <w:rsid w:val="00BA16FF"/>
    <w:rsid w:val="00BA1F23"/>
    <w:rsid w:val="00BA29D2"/>
    <w:rsid w:val="00BA2E1F"/>
    <w:rsid w:val="00BA4D54"/>
    <w:rsid w:val="00BA5EA6"/>
    <w:rsid w:val="00BA7091"/>
    <w:rsid w:val="00BA74C4"/>
    <w:rsid w:val="00BA7E04"/>
    <w:rsid w:val="00BB3213"/>
    <w:rsid w:val="00BB332A"/>
    <w:rsid w:val="00BB43DB"/>
    <w:rsid w:val="00BB45A1"/>
    <w:rsid w:val="00BB45A2"/>
    <w:rsid w:val="00BB6A1E"/>
    <w:rsid w:val="00BB6D45"/>
    <w:rsid w:val="00BB79A0"/>
    <w:rsid w:val="00BB7D44"/>
    <w:rsid w:val="00BC1C37"/>
    <w:rsid w:val="00BC334F"/>
    <w:rsid w:val="00BC3634"/>
    <w:rsid w:val="00BC4575"/>
    <w:rsid w:val="00BC45CE"/>
    <w:rsid w:val="00BC478B"/>
    <w:rsid w:val="00BC56C4"/>
    <w:rsid w:val="00BC5789"/>
    <w:rsid w:val="00BC6212"/>
    <w:rsid w:val="00BC6328"/>
    <w:rsid w:val="00BC7DB5"/>
    <w:rsid w:val="00BD0DEF"/>
    <w:rsid w:val="00BD1616"/>
    <w:rsid w:val="00BD1E78"/>
    <w:rsid w:val="00BD43E5"/>
    <w:rsid w:val="00BD4DDB"/>
    <w:rsid w:val="00BD5297"/>
    <w:rsid w:val="00BD5E16"/>
    <w:rsid w:val="00BD616F"/>
    <w:rsid w:val="00BD7242"/>
    <w:rsid w:val="00BD7DD2"/>
    <w:rsid w:val="00BD7F15"/>
    <w:rsid w:val="00BE0907"/>
    <w:rsid w:val="00BE2298"/>
    <w:rsid w:val="00BE2F98"/>
    <w:rsid w:val="00BE3273"/>
    <w:rsid w:val="00BE535C"/>
    <w:rsid w:val="00BE5A28"/>
    <w:rsid w:val="00BE63A8"/>
    <w:rsid w:val="00BE7081"/>
    <w:rsid w:val="00BE76A0"/>
    <w:rsid w:val="00BE7B86"/>
    <w:rsid w:val="00BF0D9F"/>
    <w:rsid w:val="00BF18CD"/>
    <w:rsid w:val="00BF1979"/>
    <w:rsid w:val="00BF1AE4"/>
    <w:rsid w:val="00BF2334"/>
    <w:rsid w:val="00BF3724"/>
    <w:rsid w:val="00BF382D"/>
    <w:rsid w:val="00BF3CEE"/>
    <w:rsid w:val="00BF3DA8"/>
    <w:rsid w:val="00BF4950"/>
    <w:rsid w:val="00BF4DBD"/>
    <w:rsid w:val="00BF50B2"/>
    <w:rsid w:val="00BF5B73"/>
    <w:rsid w:val="00BF5BED"/>
    <w:rsid w:val="00BF6DB7"/>
    <w:rsid w:val="00BF7BCA"/>
    <w:rsid w:val="00C00A2D"/>
    <w:rsid w:val="00C01457"/>
    <w:rsid w:val="00C01B7A"/>
    <w:rsid w:val="00C02E86"/>
    <w:rsid w:val="00C0303C"/>
    <w:rsid w:val="00C0346C"/>
    <w:rsid w:val="00C035E2"/>
    <w:rsid w:val="00C045AE"/>
    <w:rsid w:val="00C05794"/>
    <w:rsid w:val="00C05905"/>
    <w:rsid w:val="00C06ED5"/>
    <w:rsid w:val="00C07225"/>
    <w:rsid w:val="00C106D6"/>
    <w:rsid w:val="00C10FA9"/>
    <w:rsid w:val="00C13375"/>
    <w:rsid w:val="00C1454C"/>
    <w:rsid w:val="00C15851"/>
    <w:rsid w:val="00C16244"/>
    <w:rsid w:val="00C16260"/>
    <w:rsid w:val="00C16692"/>
    <w:rsid w:val="00C16B38"/>
    <w:rsid w:val="00C16C73"/>
    <w:rsid w:val="00C16EC1"/>
    <w:rsid w:val="00C16ED5"/>
    <w:rsid w:val="00C171ED"/>
    <w:rsid w:val="00C1780F"/>
    <w:rsid w:val="00C17C58"/>
    <w:rsid w:val="00C2006E"/>
    <w:rsid w:val="00C207ED"/>
    <w:rsid w:val="00C21CBF"/>
    <w:rsid w:val="00C2295C"/>
    <w:rsid w:val="00C22D17"/>
    <w:rsid w:val="00C234B7"/>
    <w:rsid w:val="00C24663"/>
    <w:rsid w:val="00C24DB2"/>
    <w:rsid w:val="00C2563E"/>
    <w:rsid w:val="00C27732"/>
    <w:rsid w:val="00C30D1B"/>
    <w:rsid w:val="00C335BB"/>
    <w:rsid w:val="00C33A91"/>
    <w:rsid w:val="00C33B26"/>
    <w:rsid w:val="00C33BDE"/>
    <w:rsid w:val="00C33DC1"/>
    <w:rsid w:val="00C35771"/>
    <w:rsid w:val="00C3579D"/>
    <w:rsid w:val="00C4071A"/>
    <w:rsid w:val="00C410C4"/>
    <w:rsid w:val="00C4287D"/>
    <w:rsid w:val="00C42E0C"/>
    <w:rsid w:val="00C4372F"/>
    <w:rsid w:val="00C440CF"/>
    <w:rsid w:val="00C441AC"/>
    <w:rsid w:val="00C44AC3"/>
    <w:rsid w:val="00C457D9"/>
    <w:rsid w:val="00C473BA"/>
    <w:rsid w:val="00C4799E"/>
    <w:rsid w:val="00C502EF"/>
    <w:rsid w:val="00C50354"/>
    <w:rsid w:val="00C51236"/>
    <w:rsid w:val="00C51F05"/>
    <w:rsid w:val="00C5257D"/>
    <w:rsid w:val="00C52820"/>
    <w:rsid w:val="00C52DE6"/>
    <w:rsid w:val="00C53566"/>
    <w:rsid w:val="00C545EA"/>
    <w:rsid w:val="00C5568B"/>
    <w:rsid w:val="00C558BE"/>
    <w:rsid w:val="00C5709D"/>
    <w:rsid w:val="00C5758A"/>
    <w:rsid w:val="00C57988"/>
    <w:rsid w:val="00C60D94"/>
    <w:rsid w:val="00C61773"/>
    <w:rsid w:val="00C61A03"/>
    <w:rsid w:val="00C637B9"/>
    <w:rsid w:val="00C642DC"/>
    <w:rsid w:val="00C6709D"/>
    <w:rsid w:val="00C67668"/>
    <w:rsid w:val="00C67A07"/>
    <w:rsid w:val="00C67BA4"/>
    <w:rsid w:val="00C712A8"/>
    <w:rsid w:val="00C717EA"/>
    <w:rsid w:val="00C720CB"/>
    <w:rsid w:val="00C7508D"/>
    <w:rsid w:val="00C75582"/>
    <w:rsid w:val="00C75FD2"/>
    <w:rsid w:val="00C778A6"/>
    <w:rsid w:val="00C77B5D"/>
    <w:rsid w:val="00C80647"/>
    <w:rsid w:val="00C81140"/>
    <w:rsid w:val="00C81E6D"/>
    <w:rsid w:val="00C83D88"/>
    <w:rsid w:val="00C850C9"/>
    <w:rsid w:val="00C85344"/>
    <w:rsid w:val="00C879CB"/>
    <w:rsid w:val="00C90256"/>
    <w:rsid w:val="00C90431"/>
    <w:rsid w:val="00C9229B"/>
    <w:rsid w:val="00C922E4"/>
    <w:rsid w:val="00C9244D"/>
    <w:rsid w:val="00C92B3D"/>
    <w:rsid w:val="00C93593"/>
    <w:rsid w:val="00C9390A"/>
    <w:rsid w:val="00C93A36"/>
    <w:rsid w:val="00C94A21"/>
    <w:rsid w:val="00C94A9C"/>
    <w:rsid w:val="00C94B98"/>
    <w:rsid w:val="00C953CF"/>
    <w:rsid w:val="00C95BCF"/>
    <w:rsid w:val="00C9787B"/>
    <w:rsid w:val="00C97ACE"/>
    <w:rsid w:val="00CA0B13"/>
    <w:rsid w:val="00CA1BA1"/>
    <w:rsid w:val="00CA1D82"/>
    <w:rsid w:val="00CA22CC"/>
    <w:rsid w:val="00CA4695"/>
    <w:rsid w:val="00CA4801"/>
    <w:rsid w:val="00CA490A"/>
    <w:rsid w:val="00CA4B2A"/>
    <w:rsid w:val="00CA4EA3"/>
    <w:rsid w:val="00CA56EB"/>
    <w:rsid w:val="00CA5964"/>
    <w:rsid w:val="00CA7968"/>
    <w:rsid w:val="00CB124F"/>
    <w:rsid w:val="00CB1394"/>
    <w:rsid w:val="00CB145E"/>
    <w:rsid w:val="00CB1CC5"/>
    <w:rsid w:val="00CB2765"/>
    <w:rsid w:val="00CB2D89"/>
    <w:rsid w:val="00CB3727"/>
    <w:rsid w:val="00CB4A63"/>
    <w:rsid w:val="00CB4EEE"/>
    <w:rsid w:val="00CB56D7"/>
    <w:rsid w:val="00CB5AB0"/>
    <w:rsid w:val="00CB6729"/>
    <w:rsid w:val="00CB6BEF"/>
    <w:rsid w:val="00CB72DD"/>
    <w:rsid w:val="00CC0764"/>
    <w:rsid w:val="00CC0CCF"/>
    <w:rsid w:val="00CC1BD8"/>
    <w:rsid w:val="00CC2B1C"/>
    <w:rsid w:val="00CC3446"/>
    <w:rsid w:val="00CC39D4"/>
    <w:rsid w:val="00CC3A82"/>
    <w:rsid w:val="00CC43F2"/>
    <w:rsid w:val="00CC455A"/>
    <w:rsid w:val="00CC4CA0"/>
    <w:rsid w:val="00CC5055"/>
    <w:rsid w:val="00CC53F2"/>
    <w:rsid w:val="00CC7D55"/>
    <w:rsid w:val="00CD27B5"/>
    <w:rsid w:val="00CD5C92"/>
    <w:rsid w:val="00CD6A2E"/>
    <w:rsid w:val="00CD78B3"/>
    <w:rsid w:val="00CD7D70"/>
    <w:rsid w:val="00CE0036"/>
    <w:rsid w:val="00CE037A"/>
    <w:rsid w:val="00CE2A7E"/>
    <w:rsid w:val="00CE2BDD"/>
    <w:rsid w:val="00CE2E43"/>
    <w:rsid w:val="00CE338A"/>
    <w:rsid w:val="00CE34F1"/>
    <w:rsid w:val="00CE3F05"/>
    <w:rsid w:val="00CE47AD"/>
    <w:rsid w:val="00CE4CD8"/>
    <w:rsid w:val="00CE4D29"/>
    <w:rsid w:val="00CE5F2B"/>
    <w:rsid w:val="00CE606F"/>
    <w:rsid w:val="00CE71DC"/>
    <w:rsid w:val="00CF2C6F"/>
    <w:rsid w:val="00CF2E0B"/>
    <w:rsid w:val="00CF335C"/>
    <w:rsid w:val="00CF3D94"/>
    <w:rsid w:val="00CF4B46"/>
    <w:rsid w:val="00CF585F"/>
    <w:rsid w:val="00CF5D7B"/>
    <w:rsid w:val="00CF5D89"/>
    <w:rsid w:val="00CF7C4B"/>
    <w:rsid w:val="00D00179"/>
    <w:rsid w:val="00D0061C"/>
    <w:rsid w:val="00D00FEA"/>
    <w:rsid w:val="00D0124D"/>
    <w:rsid w:val="00D0137F"/>
    <w:rsid w:val="00D01ABD"/>
    <w:rsid w:val="00D035D4"/>
    <w:rsid w:val="00D05CB3"/>
    <w:rsid w:val="00D05D95"/>
    <w:rsid w:val="00D063BD"/>
    <w:rsid w:val="00D06BFC"/>
    <w:rsid w:val="00D06CF0"/>
    <w:rsid w:val="00D0706F"/>
    <w:rsid w:val="00D073B0"/>
    <w:rsid w:val="00D07BDB"/>
    <w:rsid w:val="00D07E56"/>
    <w:rsid w:val="00D10D74"/>
    <w:rsid w:val="00D11574"/>
    <w:rsid w:val="00D11C9E"/>
    <w:rsid w:val="00D1214F"/>
    <w:rsid w:val="00D12276"/>
    <w:rsid w:val="00D12BE2"/>
    <w:rsid w:val="00D12D99"/>
    <w:rsid w:val="00D135A1"/>
    <w:rsid w:val="00D1417E"/>
    <w:rsid w:val="00D14950"/>
    <w:rsid w:val="00D14DA0"/>
    <w:rsid w:val="00D16CEB"/>
    <w:rsid w:val="00D16ED5"/>
    <w:rsid w:val="00D17A22"/>
    <w:rsid w:val="00D2000E"/>
    <w:rsid w:val="00D21A3E"/>
    <w:rsid w:val="00D2214F"/>
    <w:rsid w:val="00D24103"/>
    <w:rsid w:val="00D243B4"/>
    <w:rsid w:val="00D244D3"/>
    <w:rsid w:val="00D24867"/>
    <w:rsid w:val="00D24D3B"/>
    <w:rsid w:val="00D24EF9"/>
    <w:rsid w:val="00D2574F"/>
    <w:rsid w:val="00D25F8A"/>
    <w:rsid w:val="00D26201"/>
    <w:rsid w:val="00D302DB"/>
    <w:rsid w:val="00D30D01"/>
    <w:rsid w:val="00D30F83"/>
    <w:rsid w:val="00D31528"/>
    <w:rsid w:val="00D31F9F"/>
    <w:rsid w:val="00D32449"/>
    <w:rsid w:val="00D32C3D"/>
    <w:rsid w:val="00D336C1"/>
    <w:rsid w:val="00D34A59"/>
    <w:rsid w:val="00D35447"/>
    <w:rsid w:val="00D3725A"/>
    <w:rsid w:val="00D40A81"/>
    <w:rsid w:val="00D41EF5"/>
    <w:rsid w:val="00D4229F"/>
    <w:rsid w:val="00D42E68"/>
    <w:rsid w:val="00D431F0"/>
    <w:rsid w:val="00D4374B"/>
    <w:rsid w:val="00D44184"/>
    <w:rsid w:val="00D4422F"/>
    <w:rsid w:val="00D4492A"/>
    <w:rsid w:val="00D450D5"/>
    <w:rsid w:val="00D4512E"/>
    <w:rsid w:val="00D45815"/>
    <w:rsid w:val="00D45C5E"/>
    <w:rsid w:val="00D47223"/>
    <w:rsid w:val="00D474FA"/>
    <w:rsid w:val="00D47736"/>
    <w:rsid w:val="00D47745"/>
    <w:rsid w:val="00D47990"/>
    <w:rsid w:val="00D47A6F"/>
    <w:rsid w:val="00D47BD1"/>
    <w:rsid w:val="00D50600"/>
    <w:rsid w:val="00D50D37"/>
    <w:rsid w:val="00D510D2"/>
    <w:rsid w:val="00D515AC"/>
    <w:rsid w:val="00D518AA"/>
    <w:rsid w:val="00D5197F"/>
    <w:rsid w:val="00D52BC0"/>
    <w:rsid w:val="00D53BBA"/>
    <w:rsid w:val="00D54829"/>
    <w:rsid w:val="00D569B2"/>
    <w:rsid w:val="00D570F4"/>
    <w:rsid w:val="00D61EEE"/>
    <w:rsid w:val="00D627EB"/>
    <w:rsid w:val="00D62FCD"/>
    <w:rsid w:val="00D63350"/>
    <w:rsid w:val="00D6460C"/>
    <w:rsid w:val="00D64EE7"/>
    <w:rsid w:val="00D655A6"/>
    <w:rsid w:val="00D655BB"/>
    <w:rsid w:val="00D659E1"/>
    <w:rsid w:val="00D667AC"/>
    <w:rsid w:val="00D670BE"/>
    <w:rsid w:val="00D677B9"/>
    <w:rsid w:val="00D7183A"/>
    <w:rsid w:val="00D72385"/>
    <w:rsid w:val="00D7246F"/>
    <w:rsid w:val="00D7323B"/>
    <w:rsid w:val="00D7380C"/>
    <w:rsid w:val="00D73A61"/>
    <w:rsid w:val="00D73EC7"/>
    <w:rsid w:val="00D73ED9"/>
    <w:rsid w:val="00D74C8C"/>
    <w:rsid w:val="00D765DD"/>
    <w:rsid w:val="00D76B3F"/>
    <w:rsid w:val="00D773AC"/>
    <w:rsid w:val="00D77C17"/>
    <w:rsid w:val="00D8102A"/>
    <w:rsid w:val="00D81652"/>
    <w:rsid w:val="00D8167C"/>
    <w:rsid w:val="00D81D4F"/>
    <w:rsid w:val="00D820C9"/>
    <w:rsid w:val="00D8249E"/>
    <w:rsid w:val="00D828DD"/>
    <w:rsid w:val="00D84B71"/>
    <w:rsid w:val="00D8533A"/>
    <w:rsid w:val="00D86146"/>
    <w:rsid w:val="00D87BF4"/>
    <w:rsid w:val="00D907EF"/>
    <w:rsid w:val="00D916F3"/>
    <w:rsid w:val="00D92647"/>
    <w:rsid w:val="00D929ED"/>
    <w:rsid w:val="00D92A3B"/>
    <w:rsid w:val="00D935D9"/>
    <w:rsid w:val="00D94906"/>
    <w:rsid w:val="00D94BA0"/>
    <w:rsid w:val="00D95A27"/>
    <w:rsid w:val="00D9686B"/>
    <w:rsid w:val="00D96D4D"/>
    <w:rsid w:val="00D9784A"/>
    <w:rsid w:val="00DA1ABC"/>
    <w:rsid w:val="00DA1EEB"/>
    <w:rsid w:val="00DA3BD5"/>
    <w:rsid w:val="00DA3C2C"/>
    <w:rsid w:val="00DA5F23"/>
    <w:rsid w:val="00DA7067"/>
    <w:rsid w:val="00DA7223"/>
    <w:rsid w:val="00DA76AC"/>
    <w:rsid w:val="00DB0A6A"/>
    <w:rsid w:val="00DB0B0A"/>
    <w:rsid w:val="00DB1457"/>
    <w:rsid w:val="00DB2114"/>
    <w:rsid w:val="00DB3B1D"/>
    <w:rsid w:val="00DB42CE"/>
    <w:rsid w:val="00DB4884"/>
    <w:rsid w:val="00DB4D7A"/>
    <w:rsid w:val="00DB5864"/>
    <w:rsid w:val="00DB6145"/>
    <w:rsid w:val="00DB63FA"/>
    <w:rsid w:val="00DB6890"/>
    <w:rsid w:val="00DB68A1"/>
    <w:rsid w:val="00DB7085"/>
    <w:rsid w:val="00DB7626"/>
    <w:rsid w:val="00DB7BB8"/>
    <w:rsid w:val="00DC0B48"/>
    <w:rsid w:val="00DC14AD"/>
    <w:rsid w:val="00DC17A5"/>
    <w:rsid w:val="00DC26F5"/>
    <w:rsid w:val="00DC2EAF"/>
    <w:rsid w:val="00DC3280"/>
    <w:rsid w:val="00DC4A80"/>
    <w:rsid w:val="00DC4CE5"/>
    <w:rsid w:val="00DC4EAF"/>
    <w:rsid w:val="00DC6E88"/>
    <w:rsid w:val="00DC71F5"/>
    <w:rsid w:val="00DD10DC"/>
    <w:rsid w:val="00DD126B"/>
    <w:rsid w:val="00DD1A4B"/>
    <w:rsid w:val="00DD1C6F"/>
    <w:rsid w:val="00DD1D84"/>
    <w:rsid w:val="00DD3400"/>
    <w:rsid w:val="00DD3D3E"/>
    <w:rsid w:val="00DD4E2B"/>
    <w:rsid w:val="00DD514F"/>
    <w:rsid w:val="00DD5A93"/>
    <w:rsid w:val="00DD610D"/>
    <w:rsid w:val="00DD6F46"/>
    <w:rsid w:val="00DD7594"/>
    <w:rsid w:val="00DE05AD"/>
    <w:rsid w:val="00DE10E3"/>
    <w:rsid w:val="00DE263C"/>
    <w:rsid w:val="00DE2BA6"/>
    <w:rsid w:val="00DE30B0"/>
    <w:rsid w:val="00DE3121"/>
    <w:rsid w:val="00DE4569"/>
    <w:rsid w:val="00DE4905"/>
    <w:rsid w:val="00DE4CD8"/>
    <w:rsid w:val="00DE5A08"/>
    <w:rsid w:val="00DE5D91"/>
    <w:rsid w:val="00DE6028"/>
    <w:rsid w:val="00DE6368"/>
    <w:rsid w:val="00DE7417"/>
    <w:rsid w:val="00DE7781"/>
    <w:rsid w:val="00DE7854"/>
    <w:rsid w:val="00DF02FB"/>
    <w:rsid w:val="00DF21A2"/>
    <w:rsid w:val="00DF5104"/>
    <w:rsid w:val="00DF5D0F"/>
    <w:rsid w:val="00DF6A3D"/>
    <w:rsid w:val="00DF6AC0"/>
    <w:rsid w:val="00DF6F9B"/>
    <w:rsid w:val="00DF7F5E"/>
    <w:rsid w:val="00E00EE3"/>
    <w:rsid w:val="00E015C8"/>
    <w:rsid w:val="00E01A3B"/>
    <w:rsid w:val="00E0264E"/>
    <w:rsid w:val="00E02719"/>
    <w:rsid w:val="00E02828"/>
    <w:rsid w:val="00E02C03"/>
    <w:rsid w:val="00E02D3E"/>
    <w:rsid w:val="00E03177"/>
    <w:rsid w:val="00E0394C"/>
    <w:rsid w:val="00E0403D"/>
    <w:rsid w:val="00E04176"/>
    <w:rsid w:val="00E070F3"/>
    <w:rsid w:val="00E10570"/>
    <w:rsid w:val="00E10A57"/>
    <w:rsid w:val="00E10C94"/>
    <w:rsid w:val="00E1112C"/>
    <w:rsid w:val="00E114E6"/>
    <w:rsid w:val="00E1275C"/>
    <w:rsid w:val="00E14192"/>
    <w:rsid w:val="00E141CD"/>
    <w:rsid w:val="00E157F6"/>
    <w:rsid w:val="00E15E18"/>
    <w:rsid w:val="00E163F2"/>
    <w:rsid w:val="00E16F22"/>
    <w:rsid w:val="00E17A88"/>
    <w:rsid w:val="00E20001"/>
    <w:rsid w:val="00E20BDB"/>
    <w:rsid w:val="00E21FF0"/>
    <w:rsid w:val="00E22B8C"/>
    <w:rsid w:val="00E22FF5"/>
    <w:rsid w:val="00E23026"/>
    <w:rsid w:val="00E24324"/>
    <w:rsid w:val="00E2458E"/>
    <w:rsid w:val="00E24BB2"/>
    <w:rsid w:val="00E24F0B"/>
    <w:rsid w:val="00E253FE"/>
    <w:rsid w:val="00E25847"/>
    <w:rsid w:val="00E25A19"/>
    <w:rsid w:val="00E25FDC"/>
    <w:rsid w:val="00E264D3"/>
    <w:rsid w:val="00E26C48"/>
    <w:rsid w:val="00E26EB3"/>
    <w:rsid w:val="00E26F74"/>
    <w:rsid w:val="00E26F92"/>
    <w:rsid w:val="00E26FF1"/>
    <w:rsid w:val="00E27675"/>
    <w:rsid w:val="00E30320"/>
    <w:rsid w:val="00E32248"/>
    <w:rsid w:val="00E32D85"/>
    <w:rsid w:val="00E32E40"/>
    <w:rsid w:val="00E35DEE"/>
    <w:rsid w:val="00E371E4"/>
    <w:rsid w:val="00E374AA"/>
    <w:rsid w:val="00E40ED6"/>
    <w:rsid w:val="00E42254"/>
    <w:rsid w:val="00E42BBF"/>
    <w:rsid w:val="00E43324"/>
    <w:rsid w:val="00E43662"/>
    <w:rsid w:val="00E44739"/>
    <w:rsid w:val="00E45B56"/>
    <w:rsid w:val="00E45C92"/>
    <w:rsid w:val="00E45EF5"/>
    <w:rsid w:val="00E463C3"/>
    <w:rsid w:val="00E470F7"/>
    <w:rsid w:val="00E4789F"/>
    <w:rsid w:val="00E47977"/>
    <w:rsid w:val="00E50163"/>
    <w:rsid w:val="00E50597"/>
    <w:rsid w:val="00E51257"/>
    <w:rsid w:val="00E51349"/>
    <w:rsid w:val="00E514AF"/>
    <w:rsid w:val="00E51FF4"/>
    <w:rsid w:val="00E524E0"/>
    <w:rsid w:val="00E53B40"/>
    <w:rsid w:val="00E54738"/>
    <w:rsid w:val="00E54C71"/>
    <w:rsid w:val="00E54CB4"/>
    <w:rsid w:val="00E55FFB"/>
    <w:rsid w:val="00E57207"/>
    <w:rsid w:val="00E60DDA"/>
    <w:rsid w:val="00E60F6B"/>
    <w:rsid w:val="00E60FB7"/>
    <w:rsid w:val="00E62549"/>
    <w:rsid w:val="00E625FE"/>
    <w:rsid w:val="00E64D39"/>
    <w:rsid w:val="00E6533D"/>
    <w:rsid w:val="00E65CA5"/>
    <w:rsid w:val="00E65E85"/>
    <w:rsid w:val="00E67DCD"/>
    <w:rsid w:val="00E67E75"/>
    <w:rsid w:val="00E705AA"/>
    <w:rsid w:val="00E70E16"/>
    <w:rsid w:val="00E711D2"/>
    <w:rsid w:val="00E7393A"/>
    <w:rsid w:val="00E7489F"/>
    <w:rsid w:val="00E754D8"/>
    <w:rsid w:val="00E7597C"/>
    <w:rsid w:val="00E75D1D"/>
    <w:rsid w:val="00E76456"/>
    <w:rsid w:val="00E76BA5"/>
    <w:rsid w:val="00E77830"/>
    <w:rsid w:val="00E80558"/>
    <w:rsid w:val="00E80883"/>
    <w:rsid w:val="00E818E8"/>
    <w:rsid w:val="00E81B6D"/>
    <w:rsid w:val="00E82612"/>
    <w:rsid w:val="00E82A3B"/>
    <w:rsid w:val="00E83033"/>
    <w:rsid w:val="00E840BC"/>
    <w:rsid w:val="00E8455C"/>
    <w:rsid w:val="00E8574E"/>
    <w:rsid w:val="00E8579B"/>
    <w:rsid w:val="00E85B77"/>
    <w:rsid w:val="00E85F16"/>
    <w:rsid w:val="00E85FAE"/>
    <w:rsid w:val="00E86FDA"/>
    <w:rsid w:val="00E8784B"/>
    <w:rsid w:val="00E87B45"/>
    <w:rsid w:val="00E87CD9"/>
    <w:rsid w:val="00E903CD"/>
    <w:rsid w:val="00E90C6F"/>
    <w:rsid w:val="00E91E23"/>
    <w:rsid w:val="00E921E7"/>
    <w:rsid w:val="00E933CC"/>
    <w:rsid w:val="00E94691"/>
    <w:rsid w:val="00E94C66"/>
    <w:rsid w:val="00E9535F"/>
    <w:rsid w:val="00E97F01"/>
    <w:rsid w:val="00EA196D"/>
    <w:rsid w:val="00EA1A35"/>
    <w:rsid w:val="00EA33ED"/>
    <w:rsid w:val="00EA370B"/>
    <w:rsid w:val="00EA5817"/>
    <w:rsid w:val="00EA59E7"/>
    <w:rsid w:val="00EA5B32"/>
    <w:rsid w:val="00EA6020"/>
    <w:rsid w:val="00EA65AC"/>
    <w:rsid w:val="00EA7670"/>
    <w:rsid w:val="00EA791D"/>
    <w:rsid w:val="00EA7E54"/>
    <w:rsid w:val="00EB0224"/>
    <w:rsid w:val="00EB0CD7"/>
    <w:rsid w:val="00EB12A2"/>
    <w:rsid w:val="00EB1DFB"/>
    <w:rsid w:val="00EB2758"/>
    <w:rsid w:val="00EB29C4"/>
    <w:rsid w:val="00EB6341"/>
    <w:rsid w:val="00EB6493"/>
    <w:rsid w:val="00EB7601"/>
    <w:rsid w:val="00EB791F"/>
    <w:rsid w:val="00EB7E1F"/>
    <w:rsid w:val="00EC00A1"/>
    <w:rsid w:val="00EC01F6"/>
    <w:rsid w:val="00EC0773"/>
    <w:rsid w:val="00EC21D1"/>
    <w:rsid w:val="00EC359A"/>
    <w:rsid w:val="00EC43C5"/>
    <w:rsid w:val="00EC4590"/>
    <w:rsid w:val="00EC462F"/>
    <w:rsid w:val="00EC48D0"/>
    <w:rsid w:val="00EC4FDE"/>
    <w:rsid w:val="00EC5B66"/>
    <w:rsid w:val="00EC5CDE"/>
    <w:rsid w:val="00EC662E"/>
    <w:rsid w:val="00ED09A8"/>
    <w:rsid w:val="00ED0B24"/>
    <w:rsid w:val="00ED1286"/>
    <w:rsid w:val="00ED1E12"/>
    <w:rsid w:val="00ED292E"/>
    <w:rsid w:val="00ED2D99"/>
    <w:rsid w:val="00ED3401"/>
    <w:rsid w:val="00ED3DF5"/>
    <w:rsid w:val="00ED3EB4"/>
    <w:rsid w:val="00ED4729"/>
    <w:rsid w:val="00ED4F9C"/>
    <w:rsid w:val="00ED6509"/>
    <w:rsid w:val="00ED7015"/>
    <w:rsid w:val="00ED7536"/>
    <w:rsid w:val="00EE4452"/>
    <w:rsid w:val="00EE4CB7"/>
    <w:rsid w:val="00EE562E"/>
    <w:rsid w:val="00EE62D7"/>
    <w:rsid w:val="00EE68AD"/>
    <w:rsid w:val="00EE6AEF"/>
    <w:rsid w:val="00EE7521"/>
    <w:rsid w:val="00EE7B88"/>
    <w:rsid w:val="00EE7FE5"/>
    <w:rsid w:val="00EF01F0"/>
    <w:rsid w:val="00EF2093"/>
    <w:rsid w:val="00EF2B93"/>
    <w:rsid w:val="00EF378D"/>
    <w:rsid w:val="00EF4028"/>
    <w:rsid w:val="00EF4408"/>
    <w:rsid w:val="00EF505A"/>
    <w:rsid w:val="00EF697A"/>
    <w:rsid w:val="00EF707B"/>
    <w:rsid w:val="00EF71B4"/>
    <w:rsid w:val="00EF7EEF"/>
    <w:rsid w:val="00F005EE"/>
    <w:rsid w:val="00F00646"/>
    <w:rsid w:val="00F012E7"/>
    <w:rsid w:val="00F01624"/>
    <w:rsid w:val="00F01B16"/>
    <w:rsid w:val="00F01CD9"/>
    <w:rsid w:val="00F023A6"/>
    <w:rsid w:val="00F02A0F"/>
    <w:rsid w:val="00F0546D"/>
    <w:rsid w:val="00F07139"/>
    <w:rsid w:val="00F07D13"/>
    <w:rsid w:val="00F07EBB"/>
    <w:rsid w:val="00F10287"/>
    <w:rsid w:val="00F10BE7"/>
    <w:rsid w:val="00F113A0"/>
    <w:rsid w:val="00F1210B"/>
    <w:rsid w:val="00F12931"/>
    <w:rsid w:val="00F142C7"/>
    <w:rsid w:val="00F1463E"/>
    <w:rsid w:val="00F14701"/>
    <w:rsid w:val="00F14EE8"/>
    <w:rsid w:val="00F151DF"/>
    <w:rsid w:val="00F15865"/>
    <w:rsid w:val="00F163CB"/>
    <w:rsid w:val="00F16743"/>
    <w:rsid w:val="00F168EE"/>
    <w:rsid w:val="00F1741D"/>
    <w:rsid w:val="00F17709"/>
    <w:rsid w:val="00F17A07"/>
    <w:rsid w:val="00F2027B"/>
    <w:rsid w:val="00F20B1B"/>
    <w:rsid w:val="00F20DF6"/>
    <w:rsid w:val="00F21061"/>
    <w:rsid w:val="00F21678"/>
    <w:rsid w:val="00F219DE"/>
    <w:rsid w:val="00F21A0F"/>
    <w:rsid w:val="00F2240A"/>
    <w:rsid w:val="00F22D82"/>
    <w:rsid w:val="00F23951"/>
    <w:rsid w:val="00F25B71"/>
    <w:rsid w:val="00F301FE"/>
    <w:rsid w:val="00F30CF2"/>
    <w:rsid w:val="00F31496"/>
    <w:rsid w:val="00F31FC7"/>
    <w:rsid w:val="00F33D77"/>
    <w:rsid w:val="00F33D7C"/>
    <w:rsid w:val="00F34A4B"/>
    <w:rsid w:val="00F355F0"/>
    <w:rsid w:val="00F359E1"/>
    <w:rsid w:val="00F36807"/>
    <w:rsid w:val="00F3705B"/>
    <w:rsid w:val="00F3717D"/>
    <w:rsid w:val="00F41375"/>
    <w:rsid w:val="00F413BD"/>
    <w:rsid w:val="00F42980"/>
    <w:rsid w:val="00F42DB4"/>
    <w:rsid w:val="00F43081"/>
    <w:rsid w:val="00F43D6C"/>
    <w:rsid w:val="00F4400A"/>
    <w:rsid w:val="00F446E6"/>
    <w:rsid w:val="00F44A88"/>
    <w:rsid w:val="00F44ED6"/>
    <w:rsid w:val="00F45D85"/>
    <w:rsid w:val="00F5068B"/>
    <w:rsid w:val="00F525ED"/>
    <w:rsid w:val="00F52CD6"/>
    <w:rsid w:val="00F53EE1"/>
    <w:rsid w:val="00F544EC"/>
    <w:rsid w:val="00F56707"/>
    <w:rsid w:val="00F57865"/>
    <w:rsid w:val="00F57F53"/>
    <w:rsid w:val="00F60308"/>
    <w:rsid w:val="00F6079C"/>
    <w:rsid w:val="00F614E7"/>
    <w:rsid w:val="00F61E21"/>
    <w:rsid w:val="00F62C46"/>
    <w:rsid w:val="00F63325"/>
    <w:rsid w:val="00F6403F"/>
    <w:rsid w:val="00F6467A"/>
    <w:rsid w:val="00F65E3C"/>
    <w:rsid w:val="00F66DF7"/>
    <w:rsid w:val="00F66E72"/>
    <w:rsid w:val="00F678FC"/>
    <w:rsid w:val="00F67FA8"/>
    <w:rsid w:val="00F70882"/>
    <w:rsid w:val="00F717BF"/>
    <w:rsid w:val="00F71F32"/>
    <w:rsid w:val="00F7215C"/>
    <w:rsid w:val="00F7345C"/>
    <w:rsid w:val="00F73E4C"/>
    <w:rsid w:val="00F74E9E"/>
    <w:rsid w:val="00F752E5"/>
    <w:rsid w:val="00F7544E"/>
    <w:rsid w:val="00F75B91"/>
    <w:rsid w:val="00F77232"/>
    <w:rsid w:val="00F776D6"/>
    <w:rsid w:val="00F77F88"/>
    <w:rsid w:val="00F81840"/>
    <w:rsid w:val="00F81BC0"/>
    <w:rsid w:val="00F81FAC"/>
    <w:rsid w:val="00F84607"/>
    <w:rsid w:val="00F848BE"/>
    <w:rsid w:val="00F863CC"/>
    <w:rsid w:val="00F863F4"/>
    <w:rsid w:val="00F86EF6"/>
    <w:rsid w:val="00F873F5"/>
    <w:rsid w:val="00F878FE"/>
    <w:rsid w:val="00F9009A"/>
    <w:rsid w:val="00F9027C"/>
    <w:rsid w:val="00F90A5B"/>
    <w:rsid w:val="00F91544"/>
    <w:rsid w:val="00F928E4"/>
    <w:rsid w:val="00F92904"/>
    <w:rsid w:val="00F93025"/>
    <w:rsid w:val="00F932A8"/>
    <w:rsid w:val="00F93914"/>
    <w:rsid w:val="00F9589F"/>
    <w:rsid w:val="00F95C46"/>
    <w:rsid w:val="00F9622A"/>
    <w:rsid w:val="00F97B28"/>
    <w:rsid w:val="00F97B5D"/>
    <w:rsid w:val="00FA02CB"/>
    <w:rsid w:val="00FA068F"/>
    <w:rsid w:val="00FA14FC"/>
    <w:rsid w:val="00FA1686"/>
    <w:rsid w:val="00FA1B27"/>
    <w:rsid w:val="00FA1E3F"/>
    <w:rsid w:val="00FA1EF0"/>
    <w:rsid w:val="00FA1F49"/>
    <w:rsid w:val="00FA20EC"/>
    <w:rsid w:val="00FA2E88"/>
    <w:rsid w:val="00FA3723"/>
    <w:rsid w:val="00FA494E"/>
    <w:rsid w:val="00FA4986"/>
    <w:rsid w:val="00FA4E17"/>
    <w:rsid w:val="00FA5235"/>
    <w:rsid w:val="00FA5746"/>
    <w:rsid w:val="00FA600F"/>
    <w:rsid w:val="00FA65CA"/>
    <w:rsid w:val="00FA7191"/>
    <w:rsid w:val="00FA7C25"/>
    <w:rsid w:val="00FB02EF"/>
    <w:rsid w:val="00FB0B1C"/>
    <w:rsid w:val="00FB0C07"/>
    <w:rsid w:val="00FB0CF9"/>
    <w:rsid w:val="00FB1F3B"/>
    <w:rsid w:val="00FB3272"/>
    <w:rsid w:val="00FB3D7E"/>
    <w:rsid w:val="00FB47CB"/>
    <w:rsid w:val="00FB4A10"/>
    <w:rsid w:val="00FB4B5F"/>
    <w:rsid w:val="00FB4BC2"/>
    <w:rsid w:val="00FB578F"/>
    <w:rsid w:val="00FB5E79"/>
    <w:rsid w:val="00FB645C"/>
    <w:rsid w:val="00FB7D9D"/>
    <w:rsid w:val="00FC0BCF"/>
    <w:rsid w:val="00FC0EBD"/>
    <w:rsid w:val="00FC19B6"/>
    <w:rsid w:val="00FC1CA7"/>
    <w:rsid w:val="00FC26F6"/>
    <w:rsid w:val="00FC2A0D"/>
    <w:rsid w:val="00FC31BC"/>
    <w:rsid w:val="00FC3CB5"/>
    <w:rsid w:val="00FC7C15"/>
    <w:rsid w:val="00FD17B8"/>
    <w:rsid w:val="00FD1E18"/>
    <w:rsid w:val="00FD2393"/>
    <w:rsid w:val="00FD2D88"/>
    <w:rsid w:val="00FD386C"/>
    <w:rsid w:val="00FD423E"/>
    <w:rsid w:val="00FD58B8"/>
    <w:rsid w:val="00FD650A"/>
    <w:rsid w:val="00FD69F1"/>
    <w:rsid w:val="00FE1358"/>
    <w:rsid w:val="00FE1974"/>
    <w:rsid w:val="00FE1DEE"/>
    <w:rsid w:val="00FE38A6"/>
    <w:rsid w:val="00FE3E20"/>
    <w:rsid w:val="00FE4AE4"/>
    <w:rsid w:val="00FE4D2B"/>
    <w:rsid w:val="00FE5431"/>
    <w:rsid w:val="00FE56F7"/>
    <w:rsid w:val="00FE6DDE"/>
    <w:rsid w:val="00FE6FD8"/>
    <w:rsid w:val="00FE7855"/>
    <w:rsid w:val="00FE7EE4"/>
    <w:rsid w:val="00FF0AC8"/>
    <w:rsid w:val="00FF3093"/>
    <w:rsid w:val="00FF4463"/>
    <w:rsid w:val="00FF516A"/>
    <w:rsid w:val="00FF6061"/>
    <w:rsid w:val="00FF661E"/>
    <w:rsid w:val="00FF6B34"/>
    <w:rsid w:val="00FF6B60"/>
    <w:rsid w:val="00FF6C03"/>
    <w:rsid w:val="00FF77E6"/>
    <w:rsid w:val="00FF7887"/>
    <w:rsid w:val="00FF790D"/>
    <w:rsid w:val="00FF7C65"/>
  </w:rsids>
  <m:mathPr>
    <m:mathFont m:val="Cambria Math"/>
    <m:smallFrac/>
  </m:mathPr>
  <w:themeFontLang w:val="en-US"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lsdException w:name="Title" w:semiHidden="0" w:uiPriority="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rsid w:val="003E2A5A"/>
    <w:rPr>
      <w:rFonts w:eastAsiaTheme="minorEastAsia"/>
      <w:lang w:val="en-GB"/>
    </w:rPr>
  </w:style>
  <w:style w:type="paragraph" w:styleId="Heading1">
    <w:name w:val="heading 1"/>
    <w:aliases w:val="arabic abstract"/>
    <w:basedOn w:val="Normal"/>
    <w:next w:val="Normal"/>
    <w:link w:val="Heading1Char"/>
    <w:uiPriority w:val="9"/>
    <w:qFormat/>
    <w:rsid w:val="001F57D1"/>
    <w:pPr>
      <w:bidi/>
      <w:spacing w:after="0" w:line="360" w:lineRule="auto"/>
      <w:ind w:left="713"/>
      <w:jc w:val="both"/>
      <w:outlineLvl w:val="0"/>
    </w:pPr>
    <w:rPr>
      <w:rFonts w:ascii="Sakkal Majalla" w:hAnsi="Sakkal Majalla" w:cs="Sakkal Majalla"/>
      <w:b/>
      <w:sz w:val="32"/>
      <w:szCs w:val="28"/>
    </w:rPr>
  </w:style>
  <w:style w:type="paragraph" w:styleId="Heading2">
    <w:name w:val="heading 2"/>
    <w:aliases w:val="abstract english"/>
    <w:basedOn w:val="Normal"/>
    <w:next w:val="Normal"/>
    <w:link w:val="Heading2Char"/>
    <w:uiPriority w:val="9"/>
    <w:unhideWhenUsed/>
    <w:qFormat/>
    <w:rsid w:val="008C15CA"/>
    <w:pPr>
      <w:spacing w:before="120" w:after="120" w:line="216" w:lineRule="auto"/>
      <w:jc w:val="both"/>
      <w:outlineLvl w:val="1"/>
    </w:pPr>
    <w:rPr>
      <w:rFonts w:asciiTheme="majorBidi" w:hAnsiTheme="majorBidi" w:cstheme="majorBidi"/>
    </w:rPr>
  </w:style>
  <w:style w:type="paragraph" w:styleId="Heading3">
    <w:name w:val="heading 3"/>
    <w:aliases w:val="first para"/>
    <w:basedOn w:val="Normal"/>
    <w:next w:val="Normal"/>
    <w:link w:val="Heading3Char"/>
    <w:unhideWhenUsed/>
    <w:qFormat/>
    <w:rsid w:val="0008340D"/>
    <w:pPr>
      <w:spacing w:after="240" w:line="360" w:lineRule="auto"/>
      <w:jc w:val="both"/>
      <w:outlineLvl w:val="2"/>
    </w:pPr>
    <w:rPr>
      <w:rFonts w:asciiTheme="majorBidi" w:hAnsiTheme="majorBidi" w:cstheme="majorBidi"/>
      <w:sz w:val="24"/>
      <w:szCs w:val="24"/>
    </w:rPr>
  </w:style>
  <w:style w:type="paragraph" w:styleId="Heading4">
    <w:name w:val="heading 4"/>
    <w:basedOn w:val="Normal"/>
    <w:next w:val="Normal"/>
    <w:link w:val="Heading4Char"/>
    <w:uiPriority w:val="9"/>
    <w:unhideWhenUsed/>
    <w:qFormat/>
    <w:rsid w:val="00557059"/>
    <w:pPr>
      <w:spacing w:after="120" w:line="288" w:lineRule="auto"/>
      <w:ind w:firstLine="677"/>
      <w:jc w:val="both"/>
      <w:outlineLvl w:val="3"/>
    </w:pPr>
    <w:rPr>
      <w:rFonts w:asciiTheme="majorBidi" w:hAnsiTheme="majorBidi" w:cstheme="majorBidi"/>
    </w:rPr>
  </w:style>
  <w:style w:type="paragraph" w:styleId="Heading5">
    <w:name w:val="heading 5"/>
    <w:aliases w:val="SUB HEAD"/>
    <w:basedOn w:val="ListParagraph"/>
    <w:next w:val="Normal"/>
    <w:link w:val="Heading5Char"/>
    <w:uiPriority w:val="9"/>
    <w:unhideWhenUsed/>
    <w:qFormat/>
    <w:rsid w:val="00CE606F"/>
    <w:pPr>
      <w:spacing w:before="240" w:after="120" w:line="240" w:lineRule="auto"/>
      <w:ind w:left="0"/>
      <w:jc w:val="both"/>
      <w:outlineLvl w:val="4"/>
    </w:pPr>
    <w:rPr>
      <w:rFonts w:asciiTheme="majorBidi" w:hAnsiTheme="majorBidi" w:cstheme="majorBidi"/>
      <w:b/>
    </w:rPr>
  </w:style>
  <w:style w:type="paragraph" w:styleId="Heading7">
    <w:name w:val="heading 7"/>
    <w:basedOn w:val="Normal"/>
    <w:next w:val="Normal"/>
    <w:link w:val="Heading7Char"/>
    <w:qFormat/>
    <w:rsid w:val="00C5709D"/>
    <w:pPr>
      <w:keepNext/>
      <w:bidi/>
      <w:spacing w:after="0" w:line="240" w:lineRule="auto"/>
      <w:ind w:hanging="1"/>
      <w:jc w:val="center"/>
      <w:outlineLvl w:val="6"/>
    </w:pPr>
    <w:rPr>
      <w:rFonts w:ascii="MS Sans Serif" w:eastAsia="Times New Roman" w:hAnsi="MS Sans Serif" w:cs="Hesham Kashkool"/>
      <w:b/>
      <w:bCs/>
      <w:sz w:val="16"/>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rsid w:val="003E2A5A"/>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3E2A5A"/>
    <w:rPr>
      <w:rFonts w:ascii="Times New Roman" w:eastAsia="Times New Roman" w:hAnsi="Times New Roman" w:cs="Times New Roman"/>
      <w:sz w:val="20"/>
      <w:szCs w:val="20"/>
    </w:rPr>
  </w:style>
  <w:style w:type="character" w:styleId="FootnoteReference">
    <w:name w:val="footnote reference"/>
    <w:basedOn w:val="DefaultParagraphFont"/>
    <w:uiPriority w:val="99"/>
    <w:rsid w:val="003E2A5A"/>
    <w:rPr>
      <w:vertAlign w:val="superscript"/>
    </w:rPr>
  </w:style>
  <w:style w:type="paragraph" w:customStyle="1" w:styleId="Quote1">
    <w:name w:val="Quote1"/>
    <w:basedOn w:val="Heading3"/>
    <w:link w:val="QUOTEChar"/>
    <w:qFormat/>
    <w:rsid w:val="006C68FC"/>
    <w:pPr>
      <w:spacing w:before="120" w:after="120" w:line="216" w:lineRule="auto"/>
      <w:ind w:left="562" w:right="432"/>
    </w:pPr>
    <w:rPr>
      <w:sz w:val="22"/>
      <w:szCs w:val="22"/>
    </w:rPr>
  </w:style>
  <w:style w:type="paragraph" w:styleId="Bibliography">
    <w:name w:val="Bibliography"/>
    <w:basedOn w:val="Normal"/>
    <w:next w:val="Normal"/>
    <w:link w:val="BibliographyChar"/>
    <w:uiPriority w:val="37"/>
    <w:unhideWhenUsed/>
    <w:rsid w:val="003E2A5A"/>
    <w:rPr>
      <w:rFonts w:ascii="Calibri" w:eastAsia="Calibri" w:hAnsi="Calibri" w:cs="Arial"/>
    </w:rPr>
  </w:style>
  <w:style w:type="paragraph" w:styleId="NormalWeb">
    <w:name w:val="Normal (Web)"/>
    <w:basedOn w:val="Normal"/>
    <w:uiPriority w:val="99"/>
    <w:unhideWhenUsed/>
    <w:rsid w:val="003E2A5A"/>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rsid w:val="003E2A5A"/>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rsid w:val="003E2A5A"/>
    <w:rPr>
      <w:rFonts w:ascii="Times New Roman" w:eastAsia="Times New Roman" w:hAnsi="Times New Roman" w:cs="Times New Roman"/>
      <w:sz w:val="24"/>
      <w:szCs w:val="24"/>
      <w:lang w:val="en-GB"/>
    </w:rPr>
  </w:style>
  <w:style w:type="paragraph" w:styleId="Title">
    <w:name w:val="Title"/>
    <w:aliases w:val="5 - Title"/>
    <w:basedOn w:val="Normal"/>
    <w:next w:val="Normal"/>
    <w:link w:val="TitleChar"/>
    <w:qFormat/>
    <w:rsid w:val="002D3A23"/>
    <w:pPr>
      <w:keepLines/>
      <w:suppressAutoHyphens/>
      <w:spacing w:after="600" w:line="240" w:lineRule="auto"/>
      <w:contextualSpacing/>
      <w:jc w:val="center"/>
      <w:outlineLvl w:val="0"/>
    </w:pPr>
    <w:rPr>
      <w:rFonts w:eastAsia="Times New Roman" w:asciiTheme="majorBidi" w:hAnsiTheme="majorBidi" w:cstheme="majorBidi"/>
      <w:b/>
      <w:bCs/>
      <w:spacing w:val="5"/>
      <w:kern w:val="28"/>
      <w:sz w:val="26"/>
      <w:szCs w:val="26"/>
    </w:rPr>
  </w:style>
  <w:style w:type="character" w:customStyle="1" w:styleId="TitleChar">
    <w:name w:val="Title Char"/>
    <w:aliases w:val="5 - Title Char"/>
    <w:basedOn w:val="DefaultParagraphFont"/>
    <w:link w:val="Title"/>
    <w:rsid w:val="002D3A23"/>
    <w:rPr>
      <w:rFonts w:eastAsia="Times New Roman" w:asciiTheme="majorBidi" w:hAnsiTheme="majorBidi" w:cstheme="majorBidi"/>
      <w:b/>
      <w:bCs/>
      <w:spacing w:val="5"/>
      <w:kern w:val="28"/>
      <w:sz w:val="26"/>
      <w:szCs w:val="26"/>
      <w:lang w:val="en-GB"/>
    </w:rPr>
  </w:style>
  <w:style w:type="paragraph" w:styleId="Footer">
    <w:name w:val="footer"/>
    <w:basedOn w:val="Normal"/>
    <w:link w:val="FooterChar"/>
    <w:uiPriority w:val="99"/>
    <w:unhideWhenUsed/>
    <w:rsid w:val="003E2A5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A5A"/>
    <w:rPr>
      <w:rFonts w:eastAsiaTheme="minorEastAsia"/>
    </w:rPr>
  </w:style>
  <w:style w:type="paragraph" w:styleId="NoSpacing">
    <w:name w:val="No Spacing"/>
    <w:aliases w:val="author"/>
    <w:basedOn w:val="Normal"/>
    <w:link w:val="NoSpacingChar"/>
    <w:uiPriority w:val="1"/>
    <w:rsid w:val="00EE6AEF"/>
    <w:pPr>
      <w:jc w:val="center"/>
    </w:pPr>
    <w:rPr>
      <w:rFonts w:asciiTheme="majorBidi" w:hAnsiTheme="majorBidi" w:cstheme="majorBidi"/>
      <w:b/>
      <w:bCs/>
      <w:sz w:val="24"/>
      <w:szCs w:val="24"/>
    </w:rPr>
  </w:style>
  <w:style w:type="paragraph" w:styleId="Subtitle">
    <w:name w:val="Subtitle"/>
    <w:aliases w:val="Author label"/>
    <w:basedOn w:val="NoSpacing"/>
    <w:next w:val="Normal"/>
    <w:link w:val="SubtitleChar"/>
    <w:uiPriority w:val="11"/>
    <w:qFormat/>
    <w:rsid w:val="00DA3C2C"/>
    <w:pPr>
      <w:spacing w:after="0" w:line="240" w:lineRule="auto"/>
    </w:pPr>
    <w:rPr>
      <w:b w:val="0"/>
      <w:bCs w:val="0"/>
      <w:i/>
      <w:iCs/>
      <w:sz w:val="22"/>
      <w:szCs w:val="22"/>
    </w:rPr>
  </w:style>
  <w:style w:type="character" w:customStyle="1" w:styleId="SubtitleChar">
    <w:name w:val="Subtitle Char"/>
    <w:aliases w:val="Author label Char"/>
    <w:basedOn w:val="DefaultParagraphFont"/>
    <w:link w:val="Subtitle"/>
    <w:uiPriority w:val="11"/>
    <w:rsid w:val="00DA3C2C"/>
    <w:rPr>
      <w:rFonts w:asciiTheme="majorBidi" w:eastAsiaTheme="minorEastAsia" w:hAnsiTheme="majorBidi" w:cstheme="majorBidi"/>
      <w:i/>
      <w:iCs/>
    </w:rPr>
  </w:style>
  <w:style w:type="character" w:customStyle="1" w:styleId="Heading1Char">
    <w:name w:val="Heading 1 Char"/>
    <w:aliases w:val="arabic abstract Char"/>
    <w:basedOn w:val="DefaultParagraphFont"/>
    <w:link w:val="Heading1"/>
    <w:uiPriority w:val="9"/>
    <w:rsid w:val="001F57D1"/>
    <w:rPr>
      <w:rFonts w:ascii="Sakkal Majalla" w:hAnsi="Sakkal Majalla" w:eastAsiaTheme="minorEastAsia" w:cs="Sakkal Majalla"/>
      <w:b/>
      <w:sz w:val="32"/>
      <w:szCs w:val="28"/>
    </w:rPr>
  </w:style>
  <w:style w:type="character" w:customStyle="1" w:styleId="Heading2Char">
    <w:name w:val="Heading 2 Char"/>
    <w:aliases w:val="abstract english Char"/>
    <w:basedOn w:val="DefaultParagraphFont"/>
    <w:link w:val="Heading2"/>
    <w:uiPriority w:val="9"/>
    <w:rsid w:val="008C15CA"/>
    <w:rPr>
      <w:rFonts w:asciiTheme="majorBidi" w:eastAsiaTheme="minorEastAsia" w:hAnsiTheme="majorBidi" w:cstheme="majorBidi"/>
      <w:lang w:val="en-GB"/>
    </w:rPr>
  </w:style>
  <w:style w:type="character" w:customStyle="1" w:styleId="Heading3Char">
    <w:name w:val="Heading 3 Char"/>
    <w:aliases w:val="first para Char"/>
    <w:basedOn w:val="DefaultParagraphFont"/>
    <w:link w:val="Heading3"/>
    <w:rsid w:val="0008340D"/>
    <w:rPr>
      <w:rFonts w:asciiTheme="majorBidi" w:eastAsiaTheme="minorEastAsia" w:hAnsiTheme="majorBidi" w:cstheme="majorBidi"/>
      <w:sz w:val="24"/>
      <w:szCs w:val="24"/>
    </w:rPr>
  </w:style>
  <w:style w:type="character" w:customStyle="1" w:styleId="Heading4Char">
    <w:name w:val="Heading 4 Char"/>
    <w:basedOn w:val="DefaultParagraphFont"/>
    <w:link w:val="Heading4"/>
    <w:uiPriority w:val="9"/>
    <w:rsid w:val="00557059"/>
    <w:rPr>
      <w:rFonts w:asciiTheme="majorBidi" w:eastAsiaTheme="minorEastAsia" w:hAnsiTheme="majorBidi" w:cstheme="majorBidi"/>
      <w:lang w:val="en-GB"/>
    </w:rPr>
  </w:style>
  <w:style w:type="paragraph" w:styleId="ListParagraph">
    <w:name w:val="List Paragraph"/>
    <w:aliases w:val="ml heading"/>
    <w:basedOn w:val="Normal"/>
    <w:uiPriority w:val="34"/>
    <w:qFormat/>
    <w:rsid w:val="0008340D"/>
    <w:pPr>
      <w:ind w:left="720"/>
      <w:contextualSpacing/>
    </w:pPr>
  </w:style>
  <w:style w:type="character" w:customStyle="1" w:styleId="Heading5Char">
    <w:name w:val="Heading 5 Char"/>
    <w:aliases w:val="SUB HEAD Char"/>
    <w:basedOn w:val="DefaultParagraphFont"/>
    <w:link w:val="Heading5"/>
    <w:uiPriority w:val="9"/>
    <w:rsid w:val="00CE606F"/>
    <w:rPr>
      <w:rFonts w:asciiTheme="majorBidi" w:eastAsiaTheme="minorEastAsia" w:hAnsiTheme="majorBidi" w:cstheme="majorBidi"/>
      <w:b/>
      <w:lang w:val="en-GB"/>
    </w:rPr>
  </w:style>
  <w:style w:type="paragraph" w:customStyle="1" w:styleId="References">
    <w:name w:val="References"/>
    <w:basedOn w:val="Bibliography"/>
    <w:link w:val="ReferencesChar"/>
    <w:rsid w:val="00783FAC"/>
    <w:pPr>
      <w:pageBreakBefore/>
      <w:spacing w:before="240" w:after="120" w:line="240" w:lineRule="auto"/>
    </w:pPr>
    <w:rPr>
      <w:rFonts w:asciiTheme="majorBidi" w:hAnsiTheme="majorBidi" w:cstheme="majorBidi"/>
      <w:b/>
      <w:noProof/>
    </w:rPr>
  </w:style>
  <w:style w:type="character" w:customStyle="1" w:styleId="QUOTEChar">
    <w:name w:val="QUOTE Char"/>
    <w:basedOn w:val="Heading3Char"/>
    <w:link w:val="Quote1"/>
    <w:rsid w:val="006C68FC"/>
    <w:rPr>
      <w:rFonts w:asciiTheme="majorBidi" w:eastAsiaTheme="minorEastAsia" w:hAnsiTheme="majorBidi" w:cstheme="majorBidi"/>
      <w:sz w:val="24"/>
      <w:szCs w:val="24"/>
    </w:rPr>
  </w:style>
  <w:style w:type="paragraph" w:customStyle="1" w:styleId="BIBLI">
    <w:name w:val="BIBLI"/>
    <w:basedOn w:val="Bibliography"/>
    <w:link w:val="BIBLIChar"/>
    <w:rsid w:val="00941D2A"/>
    <w:pPr>
      <w:ind w:left="709" w:hanging="680"/>
    </w:pPr>
    <w:rPr>
      <w:rFonts w:asciiTheme="majorBidi" w:hAnsiTheme="majorBidi" w:cstheme="majorBidi"/>
      <w:noProof/>
      <w:szCs w:val="24"/>
    </w:rPr>
  </w:style>
  <w:style w:type="character" w:customStyle="1" w:styleId="BibliographyChar">
    <w:name w:val="Bibliography Char"/>
    <w:basedOn w:val="DefaultParagraphFont"/>
    <w:link w:val="Bibliography"/>
    <w:uiPriority w:val="37"/>
    <w:rsid w:val="00A0640D"/>
    <w:rPr>
      <w:rFonts w:ascii="Calibri" w:eastAsia="Calibri" w:hAnsi="Calibri" w:cs="Arial"/>
      <w:lang w:val="en-GB"/>
    </w:rPr>
  </w:style>
  <w:style w:type="character" w:customStyle="1" w:styleId="ReferencesChar">
    <w:name w:val="References Char"/>
    <w:basedOn w:val="BibliographyChar"/>
    <w:link w:val="References"/>
    <w:rsid w:val="00783FAC"/>
    <w:rPr>
      <w:rFonts w:eastAsia="Calibri" w:asciiTheme="majorBidi" w:hAnsiTheme="majorBidi" w:cstheme="majorBidi"/>
      <w:b/>
      <w:noProof/>
      <w:lang w:val="en-GB"/>
    </w:rPr>
  </w:style>
  <w:style w:type="paragraph" w:styleId="Header">
    <w:name w:val="header"/>
    <w:basedOn w:val="Normal"/>
    <w:link w:val="HeaderChar"/>
    <w:uiPriority w:val="99"/>
    <w:unhideWhenUsed/>
    <w:rsid w:val="00E77830"/>
    <w:pPr>
      <w:tabs>
        <w:tab w:val="center" w:pos="4680"/>
        <w:tab w:val="right" w:pos="9360"/>
      </w:tabs>
      <w:spacing w:after="0" w:line="240" w:lineRule="auto"/>
    </w:pPr>
  </w:style>
  <w:style w:type="character" w:customStyle="1" w:styleId="BIBLIChar">
    <w:name w:val="BIBLI Char"/>
    <w:basedOn w:val="BibliographyChar"/>
    <w:link w:val="BIBLI"/>
    <w:rsid w:val="00941D2A"/>
    <w:rPr>
      <w:rFonts w:eastAsia="Calibri" w:asciiTheme="majorBidi" w:hAnsiTheme="majorBidi" w:cstheme="majorBidi"/>
      <w:noProof/>
      <w:szCs w:val="24"/>
      <w:lang w:val="en-GB"/>
    </w:rPr>
  </w:style>
  <w:style w:type="character" w:customStyle="1" w:styleId="HeaderChar">
    <w:name w:val="Header Char"/>
    <w:basedOn w:val="DefaultParagraphFont"/>
    <w:link w:val="Header"/>
    <w:uiPriority w:val="99"/>
    <w:rsid w:val="00E77830"/>
    <w:rPr>
      <w:rFonts w:eastAsiaTheme="minorEastAsia"/>
    </w:rPr>
  </w:style>
  <w:style w:type="table" w:styleId="TableGrid">
    <w:name w:val="Table Grid"/>
    <w:basedOn w:val="TableNormal"/>
    <w:uiPriority w:val="59"/>
    <w:rsid w:val="00E54738"/>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E54738"/>
    <w:pPr>
      <w:spacing w:after="0" w:line="240" w:lineRule="auto"/>
    </w:pPr>
    <w:rPr>
      <w:rFonts w:ascii="Tahoma" w:eastAsia="Calibri" w:hAnsi="Tahoma" w:cs="Tahoma"/>
      <w:sz w:val="16"/>
      <w:szCs w:val="16"/>
    </w:rPr>
  </w:style>
  <w:style w:type="character" w:customStyle="1" w:styleId="BalloonTextChar">
    <w:name w:val="Balloon Text Char"/>
    <w:basedOn w:val="DefaultParagraphFont"/>
    <w:link w:val="BalloonText"/>
    <w:uiPriority w:val="99"/>
    <w:semiHidden/>
    <w:rsid w:val="00E54738"/>
    <w:rPr>
      <w:rFonts w:ascii="Tahoma" w:eastAsia="Calibri" w:hAnsi="Tahoma" w:cs="Tahoma"/>
      <w:sz w:val="16"/>
      <w:szCs w:val="16"/>
    </w:rPr>
  </w:style>
  <w:style w:type="paragraph" w:customStyle="1" w:styleId="1-1STPARA">
    <w:name w:val="1 - 1ST PARA"/>
    <w:basedOn w:val="Heading3"/>
    <w:link w:val="1-1STPARAChar"/>
    <w:qFormat/>
    <w:rsid w:val="00557059"/>
    <w:pPr>
      <w:spacing w:after="120" w:line="288" w:lineRule="auto"/>
    </w:pPr>
    <w:rPr>
      <w:sz w:val="22"/>
      <w:szCs w:val="22"/>
      <w:shd w:val="clear" w:color="auto" w:fill="FFFFFF"/>
    </w:rPr>
  </w:style>
  <w:style w:type="character" w:styleId="Hyperlink">
    <w:name w:val="Hyperlink"/>
    <w:basedOn w:val="DefaultParagraphFont"/>
    <w:uiPriority w:val="99"/>
    <w:unhideWhenUsed/>
    <w:rsid w:val="00CA22CC"/>
    <w:rPr>
      <w:color w:val="0000FF" w:themeColor="hyperlink"/>
      <w:u w:val="single"/>
    </w:rPr>
  </w:style>
  <w:style w:type="character" w:customStyle="1" w:styleId="1-1STPARAChar">
    <w:name w:val="1 - 1ST PARA Char"/>
    <w:basedOn w:val="Heading3Char"/>
    <w:link w:val="1-1STPARA"/>
    <w:rsid w:val="00557059"/>
    <w:rPr>
      <w:rFonts w:asciiTheme="majorBidi" w:eastAsiaTheme="minorEastAsia" w:hAnsiTheme="majorBidi" w:cstheme="majorBidi"/>
      <w:sz w:val="24"/>
      <w:szCs w:val="24"/>
      <w:lang w:val="en-GB"/>
    </w:rPr>
  </w:style>
  <w:style w:type="paragraph" w:customStyle="1" w:styleId="Titleofthepaper">
    <w:name w:val="Title of the paper"/>
    <w:rsid w:val="00D17A22"/>
    <w:pPr>
      <w:suppressAutoHyphens/>
      <w:spacing w:after="0" w:line="240" w:lineRule="auto"/>
      <w:jc w:val="center"/>
    </w:pPr>
    <w:rPr>
      <w:rFonts w:ascii="Arial" w:eastAsia="Arial" w:hAnsi="Arial" w:cs="Times New Roman"/>
      <w:b/>
      <w:sz w:val="28"/>
      <w:szCs w:val="20"/>
      <w:lang w:eastAsia="ar-SA"/>
    </w:rPr>
  </w:style>
  <w:style w:type="paragraph" w:customStyle="1" w:styleId="90">
    <w:name w:val="90"/>
    <w:basedOn w:val="Normal"/>
    <w:link w:val="90Char"/>
    <w:qFormat/>
    <w:rsid w:val="000D5883"/>
    <w:pPr>
      <w:spacing w:line="240" w:lineRule="auto"/>
      <w:ind w:left="270"/>
    </w:pPr>
    <w:rPr>
      <w:rFonts w:asciiTheme="majorBidi" w:hAnsiTheme="majorBidi" w:cstheme="majorBidi"/>
      <w:b/>
      <w:bCs/>
      <w:szCs w:val="18"/>
    </w:rPr>
  </w:style>
  <w:style w:type="paragraph" w:customStyle="1" w:styleId="2-2NDPARA">
    <w:name w:val="2 - 2ND PARA"/>
    <w:basedOn w:val="Heading4"/>
    <w:link w:val="2-2NDPARAChar"/>
    <w:qFormat/>
    <w:rsid w:val="008F2FC3"/>
    <w:rPr>
      <w:rFonts w:eastAsia="Times New Roman"/>
    </w:rPr>
  </w:style>
  <w:style w:type="character" w:customStyle="1" w:styleId="90Char">
    <w:name w:val="90 Char"/>
    <w:basedOn w:val="DefaultParagraphFont"/>
    <w:link w:val="90"/>
    <w:rsid w:val="000D5883"/>
    <w:rPr>
      <w:rFonts w:asciiTheme="majorBidi" w:eastAsiaTheme="minorEastAsia" w:hAnsiTheme="majorBidi" w:cstheme="majorBidi"/>
      <w:b/>
      <w:bCs/>
      <w:szCs w:val="18"/>
    </w:rPr>
  </w:style>
  <w:style w:type="character" w:customStyle="1" w:styleId="2-2NDPARAChar">
    <w:name w:val="2 - 2ND PARA Char"/>
    <w:basedOn w:val="DefaultParagraphFont"/>
    <w:link w:val="2-2NDPARA"/>
    <w:rsid w:val="008F2FC3"/>
    <w:rPr>
      <w:rFonts w:eastAsia="Times New Roman" w:asciiTheme="majorBidi" w:hAnsiTheme="majorBidi" w:cstheme="majorBidi"/>
      <w:lang w:val="en-GB"/>
    </w:rPr>
  </w:style>
  <w:style w:type="paragraph" w:styleId="TOC1">
    <w:name w:val="toc 1"/>
    <w:basedOn w:val="Normal"/>
    <w:next w:val="Normal"/>
    <w:autoRedefine/>
    <w:uiPriority w:val="39"/>
    <w:unhideWhenUsed/>
    <w:rsid w:val="008D4CC9"/>
    <w:pPr>
      <w:tabs>
        <w:tab w:val="right" w:leader="dot" w:pos="6182"/>
      </w:tabs>
      <w:spacing w:after="0" w:line="240" w:lineRule="auto"/>
    </w:pPr>
    <w:rPr>
      <w:rFonts w:eastAsia="Traditional Arabic" w:asciiTheme="majorBidi" w:hAnsiTheme="majorBidi" w:cstheme="majorBidi"/>
      <w:b/>
      <w:bCs/>
      <w:caps/>
      <w:noProof/>
      <w:spacing w:val="5"/>
      <w:kern w:val="28"/>
      <w:sz w:val="24"/>
      <w:szCs w:val="24"/>
    </w:rPr>
  </w:style>
  <w:style w:type="paragraph" w:styleId="TOC2">
    <w:name w:val="toc 2"/>
    <w:basedOn w:val="Normal"/>
    <w:next w:val="Normal"/>
    <w:autoRedefine/>
    <w:uiPriority w:val="39"/>
    <w:unhideWhenUsed/>
    <w:rsid w:val="0072218E"/>
    <w:pPr>
      <w:tabs>
        <w:tab w:val="right" w:leader="dot" w:pos="6182"/>
      </w:tabs>
      <w:spacing w:before="120" w:after="240" w:line="240" w:lineRule="auto"/>
    </w:pPr>
    <w:rPr>
      <w:rFonts w:eastAsia="Traditional Arabic" w:asciiTheme="majorBidi" w:hAnsiTheme="majorBidi" w:cstheme="majorBidi"/>
      <w:b/>
      <w:bCs/>
      <w:noProof/>
      <w:kern w:val="28"/>
      <w:sz w:val="24"/>
      <w:szCs w:val="24"/>
      <w:lang w:val="en-US"/>
    </w:rPr>
  </w:style>
  <w:style w:type="paragraph" w:styleId="TOC3">
    <w:name w:val="toc 3"/>
    <w:basedOn w:val="Normal"/>
    <w:next w:val="Normal"/>
    <w:autoRedefine/>
    <w:uiPriority w:val="39"/>
    <w:unhideWhenUsed/>
    <w:rsid w:val="00EC359A"/>
    <w:pPr>
      <w:spacing w:after="0"/>
      <w:ind w:left="220"/>
    </w:pPr>
    <w:rPr>
      <w:rFonts w:cs="Times New Roman"/>
      <w:sz w:val="20"/>
      <w:szCs w:val="24"/>
    </w:rPr>
  </w:style>
  <w:style w:type="paragraph" w:styleId="TOC4">
    <w:name w:val="toc 4"/>
    <w:basedOn w:val="Normal"/>
    <w:next w:val="Normal"/>
    <w:autoRedefine/>
    <w:uiPriority w:val="39"/>
    <w:unhideWhenUsed/>
    <w:rsid w:val="00EC359A"/>
    <w:pPr>
      <w:spacing w:after="0"/>
      <w:ind w:left="440"/>
    </w:pPr>
    <w:rPr>
      <w:rFonts w:cs="Times New Roman"/>
      <w:sz w:val="20"/>
      <w:szCs w:val="24"/>
    </w:rPr>
  </w:style>
  <w:style w:type="paragraph" w:styleId="TOC5">
    <w:name w:val="toc 5"/>
    <w:basedOn w:val="Normal"/>
    <w:next w:val="Normal"/>
    <w:autoRedefine/>
    <w:uiPriority w:val="39"/>
    <w:unhideWhenUsed/>
    <w:rsid w:val="00EC359A"/>
    <w:pPr>
      <w:spacing w:after="0"/>
      <w:ind w:left="660"/>
    </w:pPr>
    <w:rPr>
      <w:rFonts w:cs="Times New Roman"/>
      <w:sz w:val="20"/>
      <w:szCs w:val="24"/>
    </w:rPr>
  </w:style>
  <w:style w:type="paragraph" w:styleId="TOC6">
    <w:name w:val="toc 6"/>
    <w:basedOn w:val="Normal"/>
    <w:next w:val="Normal"/>
    <w:autoRedefine/>
    <w:uiPriority w:val="39"/>
    <w:unhideWhenUsed/>
    <w:rsid w:val="00EC359A"/>
    <w:pPr>
      <w:spacing w:after="0"/>
      <w:ind w:left="880"/>
    </w:pPr>
    <w:rPr>
      <w:rFonts w:cs="Times New Roman"/>
      <w:sz w:val="20"/>
      <w:szCs w:val="24"/>
    </w:rPr>
  </w:style>
  <w:style w:type="paragraph" w:styleId="TOC7">
    <w:name w:val="toc 7"/>
    <w:basedOn w:val="Normal"/>
    <w:next w:val="Normal"/>
    <w:autoRedefine/>
    <w:uiPriority w:val="39"/>
    <w:unhideWhenUsed/>
    <w:rsid w:val="00EC359A"/>
    <w:pPr>
      <w:spacing w:after="0"/>
      <w:ind w:left="1100"/>
    </w:pPr>
    <w:rPr>
      <w:rFonts w:cs="Times New Roman"/>
      <w:sz w:val="20"/>
      <w:szCs w:val="24"/>
    </w:rPr>
  </w:style>
  <w:style w:type="paragraph" w:styleId="TOC8">
    <w:name w:val="toc 8"/>
    <w:basedOn w:val="Normal"/>
    <w:next w:val="Normal"/>
    <w:autoRedefine/>
    <w:uiPriority w:val="39"/>
    <w:unhideWhenUsed/>
    <w:rsid w:val="00EC359A"/>
    <w:pPr>
      <w:spacing w:after="0"/>
      <w:ind w:left="1320"/>
    </w:pPr>
    <w:rPr>
      <w:rFonts w:cs="Times New Roman"/>
      <w:sz w:val="20"/>
      <w:szCs w:val="24"/>
    </w:rPr>
  </w:style>
  <w:style w:type="paragraph" w:styleId="TOC9">
    <w:name w:val="toc 9"/>
    <w:basedOn w:val="Normal"/>
    <w:next w:val="Normal"/>
    <w:autoRedefine/>
    <w:uiPriority w:val="39"/>
    <w:unhideWhenUsed/>
    <w:rsid w:val="00EC359A"/>
    <w:pPr>
      <w:spacing w:after="0"/>
      <w:ind w:left="1540"/>
    </w:pPr>
    <w:rPr>
      <w:rFonts w:cs="Times New Roman"/>
      <w:sz w:val="20"/>
      <w:szCs w:val="24"/>
    </w:rPr>
  </w:style>
  <w:style w:type="paragraph" w:customStyle="1" w:styleId="subh3">
    <w:name w:val="subh 3"/>
    <w:basedOn w:val="Normal"/>
    <w:link w:val="subh3Char"/>
    <w:qFormat/>
    <w:rsid w:val="00475B34"/>
    <w:pPr>
      <w:spacing w:before="240" w:after="120" w:line="240" w:lineRule="auto"/>
      <w:outlineLvl w:val="2"/>
    </w:pPr>
    <w:rPr>
      <w:rFonts w:asciiTheme="majorBidi" w:hAnsiTheme="majorBidi" w:cstheme="majorBidi"/>
      <w:b/>
      <w:bCs/>
      <w:i/>
      <w:iCs/>
    </w:rPr>
  </w:style>
  <w:style w:type="character" w:customStyle="1" w:styleId="subh3Char">
    <w:name w:val="subh 3 Char"/>
    <w:basedOn w:val="DefaultParagraphFont"/>
    <w:link w:val="subh3"/>
    <w:rsid w:val="00475B34"/>
    <w:rPr>
      <w:rFonts w:asciiTheme="majorBidi" w:eastAsiaTheme="minorEastAsia" w:hAnsiTheme="majorBidi" w:cstheme="majorBidi"/>
      <w:b/>
      <w:bCs/>
      <w:i/>
      <w:iCs/>
    </w:rPr>
  </w:style>
  <w:style w:type="character" w:styleId="CommentReference">
    <w:name w:val="annotation reference"/>
    <w:basedOn w:val="DefaultParagraphFont"/>
    <w:uiPriority w:val="99"/>
    <w:semiHidden/>
    <w:unhideWhenUsed/>
    <w:rsid w:val="00F113A0"/>
    <w:rPr>
      <w:sz w:val="16"/>
      <w:szCs w:val="16"/>
    </w:rPr>
  </w:style>
  <w:style w:type="paragraph" w:styleId="CommentText">
    <w:name w:val="annotation text"/>
    <w:basedOn w:val="Normal"/>
    <w:link w:val="CommentTextChar"/>
    <w:uiPriority w:val="99"/>
    <w:unhideWhenUsed/>
    <w:rsid w:val="00F113A0"/>
    <w:pPr>
      <w:spacing w:line="240" w:lineRule="auto"/>
    </w:pPr>
    <w:rPr>
      <w:sz w:val="20"/>
      <w:szCs w:val="20"/>
    </w:rPr>
  </w:style>
  <w:style w:type="character" w:customStyle="1" w:styleId="CommentTextChar">
    <w:name w:val="Comment Text Char"/>
    <w:basedOn w:val="DefaultParagraphFont"/>
    <w:link w:val="CommentText"/>
    <w:uiPriority w:val="99"/>
    <w:rsid w:val="00F113A0"/>
    <w:rPr>
      <w:rFonts w:eastAsiaTheme="minorEastAsia"/>
      <w:sz w:val="20"/>
      <w:szCs w:val="20"/>
    </w:rPr>
  </w:style>
  <w:style w:type="paragraph" w:styleId="CommentSubject">
    <w:name w:val="annotation subject"/>
    <w:basedOn w:val="CommentText"/>
    <w:next w:val="CommentText"/>
    <w:link w:val="CommentSubjectChar"/>
    <w:uiPriority w:val="99"/>
    <w:semiHidden/>
    <w:unhideWhenUsed/>
    <w:rsid w:val="00F113A0"/>
    <w:rPr>
      <w:b/>
      <w:bCs/>
    </w:rPr>
  </w:style>
  <w:style w:type="character" w:customStyle="1" w:styleId="CommentSubjectChar">
    <w:name w:val="Comment Subject Char"/>
    <w:basedOn w:val="CommentTextChar"/>
    <w:link w:val="CommentSubject"/>
    <w:uiPriority w:val="99"/>
    <w:semiHidden/>
    <w:rsid w:val="00F113A0"/>
    <w:rPr>
      <w:rFonts w:eastAsiaTheme="minorEastAsia"/>
      <w:b/>
      <w:bCs/>
      <w:sz w:val="20"/>
      <w:szCs w:val="20"/>
    </w:rPr>
  </w:style>
  <w:style w:type="paragraph" w:customStyle="1" w:styleId="authorname">
    <w:name w:val="author name"/>
    <w:basedOn w:val="NoSpacing"/>
    <w:link w:val="authornameChar"/>
    <w:qFormat/>
    <w:rsid w:val="004A32AD"/>
    <w:pPr>
      <w:spacing w:line="240" w:lineRule="auto"/>
      <w:jc w:val="left"/>
    </w:pPr>
    <w:rPr>
      <w:sz w:val="22"/>
      <w:szCs w:val="22"/>
    </w:rPr>
  </w:style>
  <w:style w:type="character" w:customStyle="1" w:styleId="NoSpacingChar">
    <w:name w:val="No Spacing Char"/>
    <w:aliases w:val="author Char"/>
    <w:basedOn w:val="DefaultParagraphFont"/>
    <w:link w:val="NoSpacing"/>
    <w:uiPriority w:val="1"/>
    <w:rsid w:val="004B3373"/>
    <w:rPr>
      <w:rFonts w:asciiTheme="majorBidi" w:eastAsiaTheme="minorEastAsia" w:hAnsiTheme="majorBidi" w:cstheme="majorBidi"/>
      <w:b/>
      <w:bCs/>
      <w:sz w:val="24"/>
      <w:szCs w:val="24"/>
    </w:rPr>
  </w:style>
  <w:style w:type="character" w:customStyle="1" w:styleId="authornameChar">
    <w:name w:val="author name Char"/>
    <w:basedOn w:val="NoSpacingChar"/>
    <w:link w:val="authorname"/>
    <w:rsid w:val="004A32AD"/>
    <w:rPr>
      <w:rFonts w:asciiTheme="majorBidi" w:eastAsiaTheme="minorEastAsia" w:hAnsiTheme="majorBidi" w:cstheme="majorBidi"/>
      <w:b/>
      <w:bCs/>
      <w:sz w:val="24"/>
      <w:szCs w:val="24"/>
      <w:lang w:val="en-GB"/>
    </w:rPr>
  </w:style>
  <w:style w:type="character" w:styleId="FollowedHyperlink">
    <w:name w:val="FollowedHyperlink"/>
    <w:basedOn w:val="DefaultParagraphFont"/>
    <w:uiPriority w:val="99"/>
    <w:semiHidden/>
    <w:unhideWhenUsed/>
    <w:rsid w:val="00E26F74"/>
    <w:rPr>
      <w:color w:val="800080" w:themeColor="followedHyperlink"/>
      <w:u w:val="single"/>
    </w:rPr>
  </w:style>
  <w:style w:type="character" w:customStyle="1" w:styleId="apple-converted-space">
    <w:name w:val="apple-converted-space"/>
    <w:basedOn w:val="DefaultParagraphFont"/>
    <w:rsid w:val="000A2000"/>
  </w:style>
  <w:style w:type="paragraph" w:customStyle="1" w:styleId="keywords">
    <w:name w:val="keywords"/>
    <w:basedOn w:val="Heading2"/>
    <w:link w:val="keywordsChar"/>
    <w:qFormat/>
    <w:rsid w:val="00CC53F2"/>
    <w:pPr>
      <w:spacing w:before="240"/>
    </w:pPr>
    <w:rPr>
      <w:i/>
    </w:rPr>
  </w:style>
  <w:style w:type="character" w:customStyle="1" w:styleId="keywordsChar">
    <w:name w:val="keywords Char"/>
    <w:basedOn w:val="Heading2Char"/>
    <w:link w:val="keywords"/>
    <w:rsid w:val="00CC53F2"/>
    <w:rPr>
      <w:rFonts w:asciiTheme="majorBidi" w:eastAsiaTheme="minorEastAsia" w:hAnsiTheme="majorBidi" w:cstheme="majorBidi"/>
      <w:i/>
      <w:lang w:val="en-GB"/>
    </w:rPr>
  </w:style>
  <w:style w:type="paragraph" w:styleId="EndnoteText">
    <w:name w:val="endnote text"/>
    <w:basedOn w:val="Normal"/>
    <w:link w:val="EndnoteTextChar"/>
    <w:uiPriority w:val="99"/>
    <w:unhideWhenUsed/>
    <w:rsid w:val="001A18FE"/>
    <w:pPr>
      <w:spacing w:after="0" w:line="240" w:lineRule="auto"/>
    </w:pPr>
    <w:rPr>
      <w:sz w:val="20"/>
      <w:szCs w:val="20"/>
    </w:rPr>
  </w:style>
  <w:style w:type="character" w:customStyle="1" w:styleId="EndnoteTextChar">
    <w:name w:val="Endnote Text Char"/>
    <w:basedOn w:val="DefaultParagraphFont"/>
    <w:link w:val="EndnoteText"/>
    <w:uiPriority w:val="99"/>
    <w:rsid w:val="001A18FE"/>
    <w:rPr>
      <w:rFonts w:eastAsiaTheme="minorEastAsia"/>
      <w:sz w:val="20"/>
      <w:szCs w:val="20"/>
    </w:rPr>
  </w:style>
  <w:style w:type="character" w:styleId="EndnoteReference">
    <w:name w:val="endnote reference"/>
    <w:basedOn w:val="DefaultParagraphFont"/>
    <w:uiPriority w:val="99"/>
    <w:semiHidden/>
    <w:unhideWhenUsed/>
    <w:rsid w:val="001A18FE"/>
    <w:rPr>
      <w:vertAlign w:val="superscript"/>
    </w:rPr>
  </w:style>
  <w:style w:type="paragraph" w:customStyle="1" w:styleId="uni">
    <w:name w:val="uni"/>
    <w:basedOn w:val="90"/>
    <w:link w:val="uniChar"/>
    <w:qFormat/>
    <w:rsid w:val="0084529D"/>
    <w:pPr>
      <w:spacing w:after="120"/>
      <w:ind w:left="86"/>
    </w:pPr>
    <w:rPr>
      <w:b w:val="0"/>
      <w:bCs w:val="0"/>
      <w:i/>
      <w:iCs/>
      <w:sz w:val="20"/>
      <w:szCs w:val="16"/>
    </w:rPr>
  </w:style>
  <w:style w:type="character" w:customStyle="1" w:styleId="uniChar">
    <w:name w:val="uni Char"/>
    <w:basedOn w:val="90Char"/>
    <w:link w:val="uni"/>
    <w:rsid w:val="0084529D"/>
    <w:rPr>
      <w:rFonts w:asciiTheme="majorBidi" w:eastAsiaTheme="minorEastAsia" w:hAnsiTheme="majorBidi" w:cstheme="majorBidi"/>
      <w:b/>
      <w:bCs/>
      <w:i/>
      <w:iCs/>
      <w:sz w:val="20"/>
      <w:szCs w:val="16"/>
      <w:lang w:val="en-GB"/>
    </w:rPr>
  </w:style>
  <w:style w:type="character" w:styleId="Emphasis">
    <w:name w:val="Emphasis"/>
    <w:basedOn w:val="DefaultParagraphFont"/>
    <w:uiPriority w:val="20"/>
    <w:qFormat/>
    <w:rsid w:val="00997A03"/>
    <w:rPr>
      <w:i/>
      <w:iCs/>
    </w:rPr>
  </w:style>
  <w:style w:type="character" w:styleId="Strong">
    <w:name w:val="Strong"/>
    <w:basedOn w:val="DefaultParagraphFont"/>
    <w:uiPriority w:val="22"/>
    <w:qFormat/>
    <w:rsid w:val="00D06CF0"/>
    <w:rPr>
      <w:b/>
      <w:bCs/>
    </w:rPr>
  </w:style>
  <w:style w:type="character" w:customStyle="1" w:styleId="st">
    <w:name w:val="st"/>
    <w:rsid w:val="00CC53F2"/>
  </w:style>
  <w:style w:type="paragraph" w:customStyle="1" w:styleId="Bibli0">
    <w:name w:val="Bibli"/>
    <w:basedOn w:val="BIBLI"/>
    <w:link w:val="BibliChar0"/>
    <w:qFormat/>
    <w:rsid w:val="007B20DD"/>
    <w:pPr>
      <w:ind w:left="706" w:hanging="677"/>
      <w:jc w:val="both"/>
    </w:pPr>
  </w:style>
  <w:style w:type="character" w:customStyle="1" w:styleId="ilfuvd">
    <w:name w:val="ilfuvd"/>
    <w:basedOn w:val="DefaultParagraphFont"/>
    <w:rsid w:val="00A24017"/>
  </w:style>
  <w:style w:type="character" w:customStyle="1" w:styleId="BibliChar0">
    <w:name w:val="Bibli Char"/>
    <w:basedOn w:val="BIBLIChar"/>
    <w:link w:val="Bibli0"/>
    <w:rsid w:val="007B20DD"/>
    <w:rPr>
      <w:rFonts w:eastAsia="Calibri" w:asciiTheme="majorBidi" w:hAnsiTheme="majorBidi" w:cstheme="majorBidi"/>
      <w:noProof/>
      <w:szCs w:val="24"/>
      <w:lang w:val="en-GB"/>
    </w:rPr>
  </w:style>
  <w:style w:type="character" w:customStyle="1" w:styleId="il">
    <w:name w:val="il"/>
    <w:basedOn w:val="DefaultParagraphFont"/>
    <w:rsid w:val="009A4DA1"/>
  </w:style>
  <w:style w:type="paragraph" w:customStyle="1" w:styleId="3-SubHead2">
    <w:name w:val="3 - SubHead 2"/>
    <w:basedOn w:val="Heading5"/>
    <w:link w:val="3-SubHead2Char"/>
    <w:qFormat/>
    <w:rsid w:val="00B96373"/>
    <w:pPr>
      <w:keepNext/>
    </w:pPr>
    <w:rPr>
      <w:rFonts w:eastAsia="Times New Roman"/>
      <w:sz w:val="24"/>
      <w:szCs w:val="24"/>
    </w:rPr>
  </w:style>
  <w:style w:type="character" w:customStyle="1" w:styleId="3-SubHead2Char">
    <w:name w:val="3 - SubHead 2 Char"/>
    <w:basedOn w:val="Heading5Char"/>
    <w:link w:val="3-SubHead2"/>
    <w:rsid w:val="00B96373"/>
    <w:rPr>
      <w:rFonts w:eastAsia="Times New Roman"/>
      <w:b/>
      <w:sz w:val="24"/>
      <w:szCs w:val="24"/>
    </w:rPr>
  </w:style>
  <w:style w:type="table" w:customStyle="1" w:styleId="TableGrid1">
    <w:name w:val="Table Grid1"/>
    <w:basedOn w:val="TableNormal"/>
    <w:next w:val="TableGrid"/>
    <w:uiPriority w:val="59"/>
    <w:rsid w:val="004C596E"/>
    <w:pPr>
      <w:spacing w:after="0" w:line="240" w:lineRule="auto"/>
    </w:pPr>
    <w:rPr>
      <w:lang w:val="en-I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E55FFB"/>
    <w:pPr>
      <w:keepNext/>
      <w:keepLines/>
      <w:bidi w:val="0"/>
      <w:spacing w:before="240" w:line="259" w:lineRule="auto"/>
      <w:ind w:left="0"/>
      <w:jc w:val="left"/>
      <w:outlineLvl w:val="9"/>
    </w:pPr>
    <w:rPr>
      <w:rFonts w:asciiTheme="majorHAnsi" w:eastAsiaTheme="majorEastAsia" w:hAnsiTheme="majorHAnsi" w:cstheme="majorBidi"/>
      <w:b w:val="0"/>
      <w:color w:val="365F91" w:themeColor="accent1" w:themeShade="BF"/>
      <w:szCs w:val="32"/>
      <w:lang w:val="en-US"/>
    </w:rPr>
  </w:style>
  <w:style w:type="paragraph" w:customStyle="1" w:styleId="NON">
    <w:name w:val="NON"/>
    <w:basedOn w:val="Normal"/>
    <w:link w:val="NONChar"/>
    <w:qFormat/>
    <w:rsid w:val="00AB4C20"/>
    <w:pPr>
      <w:tabs>
        <w:tab w:val="left" w:pos="720"/>
        <w:tab w:val="left" w:pos="8640"/>
      </w:tabs>
      <w:spacing w:after="0" w:line="480" w:lineRule="auto"/>
      <w:ind w:firstLine="680"/>
      <w:contextualSpacing/>
      <w:jc w:val="both"/>
    </w:pPr>
    <w:rPr>
      <w:rFonts w:ascii="Times New Roman" w:eastAsia="Times New Roman" w:hAnsi="Times New Roman" w:cs="Times New Roman"/>
      <w:sz w:val="24"/>
      <w:szCs w:val="24"/>
      <w:lang w:val="en-US"/>
    </w:rPr>
  </w:style>
  <w:style w:type="character" w:customStyle="1" w:styleId="NONChar">
    <w:name w:val="NON Char"/>
    <w:basedOn w:val="DefaultParagraphFont"/>
    <w:link w:val="NON"/>
    <w:rsid w:val="00AB4C20"/>
    <w:rPr>
      <w:rFonts w:ascii="Times New Roman" w:eastAsia="Times New Roman" w:hAnsi="Times New Roman" w:cs="Times New Roman"/>
      <w:sz w:val="24"/>
      <w:szCs w:val="24"/>
    </w:rPr>
  </w:style>
  <w:style w:type="paragraph" w:customStyle="1" w:styleId="4-quoting">
    <w:name w:val="4 - quoting"/>
    <w:basedOn w:val="Quote1"/>
    <w:link w:val="4-quotingChar"/>
    <w:qFormat/>
    <w:rsid w:val="005C06DC"/>
    <w:rPr>
      <w:rFonts w:eastAsia="Times New Roman"/>
    </w:rPr>
  </w:style>
  <w:style w:type="character" w:customStyle="1" w:styleId="4-quotingChar">
    <w:name w:val="4 - quoting Char"/>
    <w:basedOn w:val="DefaultParagraphFont"/>
    <w:link w:val="4-quoting"/>
    <w:rsid w:val="005C06DC"/>
    <w:rPr>
      <w:rFonts w:eastAsia="Times New Roman" w:asciiTheme="majorBidi" w:hAnsiTheme="majorBidi" w:cstheme="majorBidi"/>
      <w:lang w:val="en-GB"/>
    </w:rPr>
  </w:style>
  <w:style w:type="paragraph" w:customStyle="1" w:styleId="table">
    <w:name w:val="table"/>
    <w:basedOn w:val="Normal"/>
    <w:link w:val="tableChar"/>
    <w:qFormat/>
    <w:rsid w:val="000F5102"/>
    <w:pPr>
      <w:spacing w:before="480" w:after="0" w:line="240" w:lineRule="auto"/>
      <w:ind w:firstLine="680"/>
      <w:jc w:val="center"/>
    </w:pPr>
    <w:rPr>
      <w:rFonts w:ascii="Times New Roman" w:hAnsi="Times New Roman" w:cs="Times New Roman"/>
      <w:sz w:val="24"/>
      <w:szCs w:val="24"/>
      <w:lang w:eastAsia="en-GB" w:bidi="ml-IN"/>
    </w:rPr>
  </w:style>
  <w:style w:type="character" w:customStyle="1" w:styleId="tableChar">
    <w:name w:val="table Char"/>
    <w:basedOn w:val="DefaultParagraphFont"/>
    <w:link w:val="table"/>
    <w:rsid w:val="000F5102"/>
    <w:rPr>
      <w:rFonts w:ascii="Times New Roman" w:hAnsi="Times New Roman" w:eastAsiaTheme="minorEastAsia" w:cs="Times New Roman"/>
      <w:sz w:val="24"/>
      <w:szCs w:val="24"/>
      <w:lang w:val="en-GB" w:eastAsia="en-GB" w:bidi="ml-IN"/>
    </w:rPr>
  </w:style>
  <w:style w:type="paragraph" w:customStyle="1" w:styleId="6-footenote">
    <w:name w:val="6 - foote note"/>
    <w:basedOn w:val="FootnoteText"/>
    <w:link w:val="6-footenoteChar"/>
    <w:qFormat/>
    <w:rsid w:val="000F5102"/>
    <w:pPr>
      <w:jc w:val="both"/>
    </w:pPr>
    <w:rPr>
      <w:rFonts w:eastAsiaTheme="minorEastAsia"/>
      <w:lang w:eastAsia="en-GB"/>
    </w:rPr>
  </w:style>
  <w:style w:type="character" w:customStyle="1" w:styleId="6-footenoteChar">
    <w:name w:val="6 - foote note Char"/>
    <w:basedOn w:val="FootnoteTextChar"/>
    <w:link w:val="6-footenote"/>
    <w:rsid w:val="000F5102"/>
    <w:rPr>
      <w:rFonts w:ascii="Times New Roman" w:hAnsi="Times New Roman" w:eastAsiaTheme="minorEastAsia" w:cs="Times New Roman"/>
      <w:sz w:val="20"/>
      <w:szCs w:val="20"/>
      <w:lang w:val="en-GB" w:eastAsia="en-GB"/>
    </w:rPr>
  </w:style>
  <w:style w:type="paragraph" w:customStyle="1" w:styleId="tablenote">
    <w:name w:val="table note"/>
    <w:basedOn w:val="table"/>
    <w:link w:val="tablenoteChar"/>
    <w:qFormat/>
    <w:rsid w:val="000F5102"/>
    <w:pPr>
      <w:spacing w:before="0" w:after="240"/>
    </w:pPr>
  </w:style>
  <w:style w:type="character" w:customStyle="1" w:styleId="tablenoteChar">
    <w:name w:val="table note Char"/>
    <w:basedOn w:val="tableChar"/>
    <w:link w:val="tablenote"/>
    <w:rsid w:val="000F5102"/>
    <w:rPr>
      <w:rFonts w:ascii="Times New Roman" w:hAnsi="Times New Roman" w:eastAsiaTheme="minorEastAsia" w:cs="Times New Roman"/>
      <w:sz w:val="24"/>
      <w:szCs w:val="24"/>
      <w:lang w:val="en-GB" w:eastAsia="en-GB" w:bidi="ml-IN"/>
    </w:rPr>
  </w:style>
  <w:style w:type="paragraph" w:styleId="DocumentMap">
    <w:name w:val="Document Map"/>
    <w:basedOn w:val="Normal"/>
    <w:link w:val="DocumentMapChar"/>
    <w:uiPriority w:val="99"/>
    <w:semiHidden/>
    <w:unhideWhenUsed/>
    <w:rsid w:val="00F873F5"/>
    <w:pPr>
      <w:spacing w:after="0" w:line="240" w:lineRule="auto"/>
    </w:pPr>
    <w:rPr>
      <w:rFonts w:ascii="Tahoma" w:hAnsi="Tahoma" w:eastAsiaTheme="minorHAnsi" w:cs="Tahoma"/>
      <w:sz w:val="16"/>
      <w:szCs w:val="16"/>
      <w:lang w:val="en-US"/>
    </w:rPr>
  </w:style>
  <w:style w:type="character" w:customStyle="1" w:styleId="DocumentMapChar">
    <w:name w:val="Document Map Char"/>
    <w:basedOn w:val="DefaultParagraphFont"/>
    <w:link w:val="DocumentMap"/>
    <w:uiPriority w:val="99"/>
    <w:semiHidden/>
    <w:rsid w:val="00F873F5"/>
    <w:rPr>
      <w:rFonts w:ascii="Tahoma" w:hAnsi="Tahoma" w:cs="Tahoma"/>
      <w:sz w:val="16"/>
      <w:szCs w:val="16"/>
    </w:rPr>
  </w:style>
  <w:style w:type="character" w:customStyle="1" w:styleId="Heading7Char">
    <w:name w:val="Heading 7 Char"/>
    <w:basedOn w:val="DefaultParagraphFont"/>
    <w:link w:val="Heading7"/>
    <w:rsid w:val="00C5709D"/>
    <w:rPr>
      <w:rFonts w:ascii="MS Sans Serif" w:eastAsia="Times New Roman" w:hAnsi="MS Sans Serif" w:cs="Hesham Kashkool"/>
      <w:b/>
      <w:bCs/>
      <w:sz w:val="16"/>
      <w:szCs w:val="20"/>
    </w:rPr>
  </w:style>
  <w:style w:type="numbering" w:customStyle="1" w:styleId="NoList1">
    <w:name w:val="No List1"/>
    <w:next w:val="NoList"/>
    <w:uiPriority w:val="99"/>
    <w:semiHidden/>
    <w:unhideWhenUsed/>
    <w:rsid w:val="00C5709D"/>
  </w:style>
  <w:style w:type="paragraph" w:styleId="BodyTextIndent">
    <w:name w:val="Body Text Indent"/>
    <w:basedOn w:val="Normal"/>
    <w:link w:val="BodyTextIndentChar"/>
    <w:uiPriority w:val="99"/>
    <w:rsid w:val="00C5709D"/>
    <w:pPr>
      <w:bidi/>
      <w:spacing w:after="0" w:line="240" w:lineRule="auto"/>
      <w:ind w:firstLine="567"/>
      <w:jc w:val="lowKashida"/>
    </w:pPr>
    <w:rPr>
      <w:rFonts w:ascii="Times New Roman" w:eastAsia="Times New Roman" w:hAnsi="Times New Roman" w:cs="AL-Hotham"/>
      <w:sz w:val="20"/>
      <w:szCs w:val="32"/>
      <w:lang w:val="en-US"/>
    </w:rPr>
  </w:style>
  <w:style w:type="character" w:customStyle="1" w:styleId="BodyTextIndentChar">
    <w:name w:val="Body Text Indent Char"/>
    <w:basedOn w:val="DefaultParagraphFont"/>
    <w:link w:val="BodyTextIndent"/>
    <w:uiPriority w:val="99"/>
    <w:rsid w:val="00C5709D"/>
    <w:rPr>
      <w:rFonts w:ascii="Times New Roman" w:eastAsia="Times New Roman" w:hAnsi="Times New Roman" w:cs="AL-Hotham"/>
      <w:sz w:val="20"/>
      <w:szCs w:val="32"/>
    </w:rPr>
  </w:style>
  <w:style w:type="paragraph" w:styleId="Revision">
    <w:name w:val="Revision"/>
    <w:hidden/>
    <w:uiPriority w:val="99"/>
    <w:semiHidden/>
    <w:rsid w:val="0003205E"/>
    <w:pPr>
      <w:spacing w:after="0" w:line="240" w:lineRule="auto"/>
    </w:pPr>
    <w:rPr>
      <w:rFonts w:eastAsiaTheme="minorEastAsia"/>
    </w:rPr>
  </w:style>
  <w:style w:type="paragraph" w:customStyle="1" w:styleId="97-ArbSecondpara">
    <w:name w:val="97 - Arb Second ' para"/>
    <w:basedOn w:val="1-1STPARA"/>
    <w:link w:val="97-ArbSecondparaChar"/>
    <w:qFormat/>
    <w:rsid w:val="00EC4590"/>
    <w:pPr>
      <w:bidi/>
      <w:spacing w:before="120"/>
      <w:ind w:firstLine="794"/>
    </w:pPr>
    <w:rPr>
      <w:rFonts w:ascii="Sakkal Majalla" w:hAnsi="Sakkal Majalla" w:cs="Sakkal Majalla"/>
      <w:sz w:val="28"/>
      <w:szCs w:val="28"/>
    </w:rPr>
  </w:style>
  <w:style w:type="paragraph" w:customStyle="1" w:styleId="91-Arabicheading2">
    <w:name w:val="91 - Arabic heading 2"/>
    <w:basedOn w:val="3-SubHead2"/>
    <w:link w:val="91-Arabicheading2Char"/>
    <w:qFormat/>
    <w:rsid w:val="008821DA"/>
    <w:pPr>
      <w:bidi/>
    </w:pPr>
    <w:rPr>
      <w:rFonts w:ascii="Sakkal Majalla" w:hAnsi="Sakkal Majalla" w:cs="Sakkal Majalla"/>
      <w:b w:val="0"/>
      <w:bCs/>
      <w:sz w:val="32"/>
      <w:szCs w:val="32"/>
      <w:lang w:bidi="ar-EG"/>
    </w:rPr>
  </w:style>
  <w:style w:type="character" w:customStyle="1" w:styleId="97-ArbSecondparaChar">
    <w:name w:val="97 - Arb Second ' para Char"/>
    <w:basedOn w:val="1-1STPARAChar"/>
    <w:link w:val="97-ArbSecondpara"/>
    <w:rsid w:val="00EC4590"/>
    <w:rPr>
      <w:rFonts w:ascii="Sakkal Majalla" w:hAnsi="Sakkal Majalla" w:eastAsiaTheme="minorEastAsia" w:cs="Sakkal Majalla"/>
      <w:sz w:val="28"/>
      <w:szCs w:val="28"/>
      <w:lang w:val="en-GB"/>
    </w:rPr>
  </w:style>
  <w:style w:type="paragraph" w:customStyle="1" w:styleId="96-Arabicfirstpara">
    <w:name w:val="96 - Arabic first para"/>
    <w:basedOn w:val="97-ArbSecondpara"/>
    <w:link w:val="96-ArabicfirstparaChar"/>
    <w:qFormat/>
    <w:rsid w:val="00021A36"/>
    <w:pPr>
      <w:ind w:firstLine="0"/>
    </w:pPr>
    <w:rPr>
      <w:lang w:bidi="ar-EG"/>
    </w:rPr>
  </w:style>
  <w:style w:type="character" w:customStyle="1" w:styleId="91-Arabicheading2Char">
    <w:name w:val="91 - Arabic heading 2 Char"/>
    <w:basedOn w:val="3-SubHead2Char"/>
    <w:link w:val="91-Arabicheading2"/>
    <w:rsid w:val="008821DA"/>
    <w:rPr>
      <w:rFonts w:ascii="Sakkal Majalla" w:hAnsi="Sakkal Majalla" w:eastAsiaTheme="minorEastAsia" w:cs="Sakkal Majalla"/>
      <w:b/>
      <w:bCs/>
      <w:sz w:val="32"/>
      <w:szCs w:val="32"/>
      <w:lang w:val="en-GB" w:bidi="ar-EG"/>
    </w:rPr>
  </w:style>
  <w:style w:type="character" w:customStyle="1" w:styleId="96-ArabicfirstparaChar">
    <w:name w:val="96 - Arabic first para Char"/>
    <w:basedOn w:val="97-ArbSecondparaChar"/>
    <w:link w:val="96-Arabicfirstpara"/>
    <w:rsid w:val="00021A36"/>
    <w:rPr>
      <w:rFonts w:ascii="Sakkal Majalla" w:hAnsi="Sakkal Majalla" w:eastAsiaTheme="minorEastAsia" w:cs="Sakkal Majalla"/>
      <w:sz w:val="28"/>
      <w:szCs w:val="28"/>
      <w:lang w:val="en-GB" w:bidi="ar-EG"/>
    </w:rPr>
  </w:style>
  <w:style w:type="paragraph" w:customStyle="1" w:styleId="6-Heading04">
    <w:name w:val="6 - Heading 04"/>
    <w:basedOn w:val="subh3"/>
    <w:link w:val="6-Heading04Char"/>
    <w:rsid w:val="00A33B5C"/>
    <w:rPr>
      <w:b w:val="0"/>
      <w:bCs w:val="0"/>
      <w:shd w:val="clear" w:color="auto" w:fill="FFFFFF"/>
    </w:rPr>
  </w:style>
  <w:style w:type="character" w:customStyle="1" w:styleId="6-Heading04Char">
    <w:name w:val="6 - Heading 04 Char"/>
    <w:basedOn w:val="DefaultParagraphFont"/>
    <w:link w:val="6-Heading04"/>
    <w:rsid w:val="00A33B5C"/>
    <w:rPr>
      <w:rFonts w:asciiTheme="majorBidi" w:eastAsiaTheme="minorEastAsia" w:hAnsiTheme="majorBidi" w:cstheme="majorBidi"/>
      <w:i/>
      <w:iCs/>
      <w:lang w:val="en-GB"/>
    </w:rPr>
  </w:style>
  <w:style w:type="paragraph" w:customStyle="1" w:styleId="afirstheading">
    <w:name w:val="afirst heading"/>
    <w:basedOn w:val="Heading5"/>
    <w:link w:val="afirstheadingChar"/>
    <w:qFormat/>
    <w:rsid w:val="00BF7BCA"/>
    <w:pPr>
      <w:keepNext/>
    </w:pPr>
    <w:rPr>
      <w:rFonts w:eastAsia="Calibri"/>
      <w:sz w:val="24"/>
      <w:szCs w:val="24"/>
      <w:lang w:val="en-US" w:bidi="en-US"/>
    </w:rPr>
  </w:style>
  <w:style w:type="character" w:customStyle="1" w:styleId="afirstheadingChar">
    <w:name w:val="afirst heading Char"/>
    <w:link w:val="afirstheading"/>
    <w:rsid w:val="00BF7BCA"/>
    <w:rPr>
      <w:rFonts w:eastAsia="Calibri" w:asciiTheme="majorBidi" w:hAnsiTheme="majorBidi" w:cstheme="majorBidi"/>
      <w:b/>
      <w:sz w:val="24"/>
      <w:szCs w:val="24"/>
      <w:lang w:bidi="en-US"/>
    </w:rPr>
  </w:style>
  <w:style w:type="paragraph" w:customStyle="1" w:styleId="Arabictitle1">
    <w:name w:val="Arabic title 1"/>
    <w:basedOn w:val="Title"/>
    <w:link w:val="Arabictitle1Char"/>
    <w:qFormat/>
    <w:rsid w:val="00E25847"/>
    <w:rPr>
      <w:rFonts w:ascii="Sakkal Majalla" w:hAnsi="Sakkal Majalla" w:cs="Sakkal Majalla"/>
      <w:sz w:val="36"/>
      <w:szCs w:val="36"/>
    </w:rPr>
  </w:style>
  <w:style w:type="paragraph" w:customStyle="1" w:styleId="99-Arabicauthorname">
    <w:name w:val="99 - Arabic author name"/>
    <w:basedOn w:val="authorname"/>
    <w:link w:val="99-ArabicauthornameChar"/>
    <w:qFormat/>
    <w:rsid w:val="00BC334F"/>
    <w:pPr>
      <w:bidi/>
    </w:pPr>
    <w:rPr>
      <w:rFonts w:ascii="Sakkal Majalla" w:hAnsi="Sakkal Majalla" w:cs="Sakkal Majalla"/>
      <w:sz w:val="28"/>
      <w:szCs w:val="28"/>
      <w:lang w:bidi="ar-EG"/>
    </w:rPr>
  </w:style>
  <w:style w:type="character" w:customStyle="1" w:styleId="Arabictitle1Char">
    <w:name w:val="Arabic title 1 Char"/>
    <w:basedOn w:val="TitleChar"/>
    <w:link w:val="Arabictitle1"/>
    <w:rsid w:val="00E25847"/>
    <w:rPr>
      <w:rFonts w:ascii="Sakkal Majalla" w:hAnsi="Sakkal Majalla" w:eastAsiaTheme="majorEastAsia" w:cs="Sakkal Majalla"/>
      <w:b/>
      <w:bCs/>
      <w:spacing w:val="5"/>
      <w:kern w:val="28"/>
      <w:sz w:val="36"/>
      <w:szCs w:val="36"/>
      <w:lang w:val="en-GB"/>
    </w:rPr>
  </w:style>
  <w:style w:type="character" w:customStyle="1" w:styleId="99-ArabicauthornameChar">
    <w:name w:val="99 - Arabic author name Char"/>
    <w:basedOn w:val="authornameChar"/>
    <w:link w:val="99-Arabicauthorname"/>
    <w:rsid w:val="00BC334F"/>
    <w:rPr>
      <w:rFonts w:ascii="Sakkal Majalla" w:hAnsi="Sakkal Majalla" w:eastAsiaTheme="minorEastAsia" w:cs="Sakkal Majalla"/>
      <w:b/>
      <w:bCs/>
      <w:sz w:val="28"/>
      <w:szCs w:val="28"/>
      <w:lang w:val="en-GB" w:bidi="ar-EG"/>
    </w:rPr>
  </w:style>
  <w:style w:type="character" w:customStyle="1" w:styleId="contributor-unlinked">
    <w:name w:val="contributor-unlinked"/>
    <w:basedOn w:val="DefaultParagraphFont"/>
    <w:rsid w:val="00507094"/>
  </w:style>
  <w:style w:type="paragraph" w:customStyle="1" w:styleId="Arabicbibli">
    <w:name w:val="Arabic bibli"/>
    <w:basedOn w:val="Bibli0"/>
    <w:link w:val="ArabicbibliChar"/>
    <w:qFormat/>
    <w:rsid w:val="00363F01"/>
    <w:pPr>
      <w:bidi/>
    </w:pPr>
    <w:rPr>
      <w:rFonts w:ascii="Sakkal Majalla" w:hAnsi="Sakkal Majalla" w:cs="Sakkal Majalla"/>
      <w:sz w:val="24"/>
      <w:szCs w:val="28"/>
      <w:lang w:bidi="ar-EG"/>
    </w:rPr>
  </w:style>
  <w:style w:type="character" w:customStyle="1" w:styleId="ArabicbibliChar">
    <w:name w:val="Arabic bibli Char"/>
    <w:basedOn w:val="BibliChar0"/>
    <w:link w:val="Arabicbibli"/>
    <w:rsid w:val="00363F01"/>
    <w:rPr>
      <w:rFonts w:ascii="Sakkal Majalla" w:eastAsia="Calibri" w:hAnsi="Sakkal Majalla" w:cs="Sakkal Majalla"/>
      <w:noProof/>
      <w:sz w:val="24"/>
      <w:szCs w:val="28"/>
      <w:lang w:val="en-GB" w:bidi="ar-EG"/>
    </w:rPr>
  </w:style>
  <w:style w:type="character" w:customStyle="1" w:styleId="UnresolvedMention">
    <w:name w:val="Unresolved Mention"/>
    <w:basedOn w:val="DefaultParagraphFont"/>
    <w:uiPriority w:val="99"/>
    <w:semiHidden/>
    <w:unhideWhenUsed/>
    <w:rsid w:val="00506BA0"/>
    <w:rPr>
      <w:color w:val="605E5C"/>
      <w:shd w:val="clear" w:color="auto" w:fill="E1DFDD"/>
    </w:rPr>
  </w:style>
  <w:style w:type="paragraph" w:customStyle="1" w:styleId="Arabic3rdheading">
    <w:name w:val="Arabic 3rd heading"/>
    <w:basedOn w:val="91-Arabicheading2"/>
    <w:link w:val="Arabic3rdheadingChar"/>
    <w:qFormat/>
    <w:rsid w:val="000C15CF"/>
    <w:rPr>
      <w:sz w:val="28"/>
      <w:szCs w:val="28"/>
    </w:rPr>
  </w:style>
  <w:style w:type="character" w:customStyle="1" w:styleId="Arabic3rdheadingChar">
    <w:name w:val="Arabic 3rd heading Char"/>
    <w:basedOn w:val="91-Arabicheading2Char"/>
    <w:link w:val="Arabic3rdheading"/>
    <w:rsid w:val="000C15CF"/>
    <w:rPr>
      <w:rFonts w:ascii="Sakkal Majalla" w:hAnsi="Sakkal Majalla" w:eastAsiaTheme="minorEastAsia" w:cs="Sakkal Majalla"/>
      <w:b w:val="0"/>
      <w:bCs/>
      <w:sz w:val="28"/>
      <w:szCs w:val="28"/>
      <w:lang w:val="en-GB" w:bidi="ar-EG"/>
    </w:rPr>
  </w:style>
  <w:style w:type="paragraph" w:customStyle="1" w:styleId="Hadith">
    <w:name w:val="Hadith"/>
    <w:basedOn w:val="Normal"/>
    <w:link w:val="HadithChar"/>
    <w:qFormat/>
    <w:rsid w:val="00BD5E16"/>
    <w:pPr>
      <w:autoSpaceDE w:val="0"/>
      <w:autoSpaceDN w:val="0"/>
      <w:bidi/>
      <w:adjustRightInd w:val="0"/>
      <w:spacing w:before="100" w:beforeAutospacing="1" w:after="0" w:line="240" w:lineRule="auto"/>
      <w:ind w:left="864" w:right="864"/>
      <w:jc w:val="both"/>
    </w:pPr>
    <w:rPr>
      <w:rFonts w:ascii="Traditional Arabic" w:hAnsi="Traditional Arabic" w:cs="Traditional Arabic"/>
      <w:color w:val="000000"/>
      <w:sz w:val="36"/>
      <w:szCs w:val="36"/>
      <w:lang w:val="en-US"/>
    </w:rPr>
  </w:style>
  <w:style w:type="character" w:customStyle="1" w:styleId="HadithChar">
    <w:name w:val="Hadith Char"/>
    <w:basedOn w:val="DefaultParagraphFont"/>
    <w:link w:val="Hadith"/>
    <w:rsid w:val="00BD5E16"/>
    <w:rPr>
      <w:rFonts w:ascii="Traditional Arabic" w:hAnsi="Traditional Arabic" w:eastAsiaTheme="minorEastAsia" w:cs="Traditional Arabic"/>
      <w:color w:val="000000"/>
      <w:sz w:val="36"/>
      <w:szCs w:val="36"/>
    </w:rPr>
  </w:style>
  <w:style w:type="paragraph" w:customStyle="1" w:styleId="Style1">
    <w:name w:val="Style1"/>
    <w:basedOn w:val="Normal"/>
    <w:link w:val="Style1Char"/>
    <w:qFormat/>
    <w:rsid w:val="00BD5E16"/>
    <w:pPr>
      <w:bidi/>
      <w:jc w:val="both"/>
    </w:pPr>
    <w:rPr>
      <w:rFonts w:ascii="Traditional Arabic" w:hAnsi="Traditional Arabic" w:cs="Traditional Arabic"/>
      <w:sz w:val="36"/>
      <w:szCs w:val="36"/>
      <w:lang w:val="en-US"/>
    </w:rPr>
  </w:style>
  <w:style w:type="character" w:customStyle="1" w:styleId="Style1Char">
    <w:name w:val="Style1 Char"/>
    <w:basedOn w:val="DefaultParagraphFont"/>
    <w:link w:val="Style1"/>
    <w:rsid w:val="00BD5E16"/>
    <w:rPr>
      <w:rFonts w:ascii="Traditional Arabic" w:hAnsi="Traditional Arabic" w:eastAsiaTheme="minorEastAsia" w:cs="Traditional Arabic"/>
      <w:sz w:val="36"/>
      <w:szCs w:val="36"/>
    </w:rPr>
  </w:style>
  <w:style w:type="character" w:customStyle="1" w:styleId="fontstyle01">
    <w:name w:val="fontstyle01"/>
    <w:basedOn w:val="DefaultParagraphFont"/>
    <w:rsid w:val="00BD5E16"/>
    <w:rPr>
      <w:rFonts w:ascii="Bold" w:hAnsi="Bold" w:hint="default"/>
      <w:b/>
      <w:bCs/>
      <w:i w:val="0"/>
      <w:iCs w:val="0"/>
      <w:color w:val="000000"/>
      <w:sz w:val="24"/>
      <w:szCs w:val="24"/>
    </w:rPr>
  </w:style>
  <w:style w:type="character" w:customStyle="1" w:styleId="fontstyle21">
    <w:name w:val="fontstyle21"/>
    <w:basedOn w:val="DefaultParagraphFont"/>
    <w:rsid w:val="00BD5E16"/>
    <w:rPr>
      <w:rFonts w:ascii="TimesNewRoman" w:hAnsi="TimesNewRoman" w:hint="default"/>
      <w:b w:val="0"/>
      <w:bCs w:val="0"/>
      <w:i w:val="0"/>
      <w:iCs w:val="0"/>
      <w:color w:val="000000"/>
      <w:sz w:val="24"/>
      <w:szCs w:val="24"/>
    </w:rPr>
  </w:style>
  <w:style w:type="paragraph" w:customStyle="1" w:styleId="98-ArabicQuote">
    <w:name w:val="98 - Arabic Quote"/>
    <w:basedOn w:val="Quote1"/>
    <w:link w:val="98-ArabicQuoteChar"/>
    <w:qFormat/>
    <w:rsid w:val="00473A8D"/>
    <w:pPr>
      <w:bidi/>
      <w:spacing w:line="276" w:lineRule="auto"/>
    </w:pPr>
    <w:rPr>
      <w:rFonts w:ascii="Sakkal Majalla" w:hAnsi="Sakkal Majalla" w:cs="Sakkal Majalla"/>
      <w:sz w:val="28"/>
      <w:szCs w:val="28"/>
    </w:rPr>
  </w:style>
  <w:style w:type="paragraph" w:customStyle="1" w:styleId="ArabicFootnote">
    <w:name w:val="Arabic Footnote"/>
    <w:link w:val="ArabicFootnoteChar"/>
    <w:qFormat/>
    <w:rsid w:val="0008262D"/>
    <w:pPr>
      <w:keepLines/>
      <w:bidi/>
      <w:spacing w:after="0" w:line="240" w:lineRule="auto"/>
      <w:ind w:left="-454"/>
      <w:contextualSpacing/>
    </w:pPr>
    <w:rPr>
      <w:rFonts w:ascii="Sakkal Majalla" w:hAnsi="Sakkal Majalla" w:eastAsiaTheme="minorEastAsia" w:cs="Sakkal Majalla"/>
      <w:color w:val="000000"/>
      <w:sz w:val="24"/>
      <w:szCs w:val="24"/>
    </w:rPr>
  </w:style>
  <w:style w:type="character" w:customStyle="1" w:styleId="98-ArabicQuoteChar">
    <w:name w:val="98 - Arabic Quote Char"/>
    <w:basedOn w:val="QUOTEChar"/>
    <w:link w:val="98-ArabicQuote"/>
    <w:rsid w:val="00473A8D"/>
    <w:rPr>
      <w:rFonts w:ascii="Sakkal Majalla" w:hAnsi="Sakkal Majalla" w:cs="Sakkal Majalla"/>
      <w:sz w:val="28"/>
      <w:szCs w:val="28"/>
      <w:lang w:val="en-GB"/>
    </w:rPr>
  </w:style>
  <w:style w:type="character" w:customStyle="1" w:styleId="ArabicFootnoteChar">
    <w:name w:val="Arabic Footnote Char"/>
    <w:basedOn w:val="HadithChar"/>
    <w:link w:val="ArabicFootnote"/>
    <w:rsid w:val="0008262D"/>
    <w:rPr>
      <w:rFonts w:ascii="Sakkal Majalla" w:hAnsi="Sakkal Majalla" w:cs="Sakkal Majalla"/>
      <w:sz w:val="24"/>
      <w:szCs w:val="24"/>
    </w:rPr>
  </w:style>
  <w:style w:type="paragraph" w:customStyle="1" w:styleId="1stparagraph">
    <w:name w:val="1st paragraph"/>
    <w:basedOn w:val="Normal"/>
    <w:link w:val="1stparagraphChar"/>
    <w:rsid w:val="00A0368F"/>
    <w:pPr>
      <w:autoSpaceDE w:val="0"/>
      <w:autoSpaceDN w:val="0"/>
      <w:adjustRightInd w:val="0"/>
      <w:spacing w:after="0" w:line="480" w:lineRule="auto"/>
      <w:jc w:val="both"/>
    </w:pPr>
    <w:rPr>
      <w:rFonts w:ascii="Times New Roman" w:hAnsi="Times New Roman" w:cs="Times New Roman"/>
      <w:color w:val="231F20"/>
      <w:sz w:val="24"/>
      <w:szCs w:val="24"/>
      <w:lang w:val="en-IN" w:eastAsia="en-IN"/>
    </w:rPr>
  </w:style>
  <w:style w:type="character" w:customStyle="1" w:styleId="1stparagraphChar">
    <w:name w:val="1st paragraph Char"/>
    <w:basedOn w:val="DefaultParagraphFont"/>
    <w:link w:val="1stparagraph"/>
    <w:rsid w:val="00A0368F"/>
    <w:rPr>
      <w:rFonts w:ascii="Times New Roman" w:hAnsi="Times New Roman" w:eastAsiaTheme="minorEastAsia" w:cs="Times New Roman"/>
      <w:color w:val="231F20"/>
      <w:sz w:val="24"/>
      <w:szCs w:val="24"/>
      <w:lang w:val="en-IN" w:eastAsia="en-IN"/>
    </w:rPr>
  </w:style>
  <w:style w:type="paragraph" w:customStyle="1" w:styleId="lastpara">
    <w:name w:val="last para"/>
    <w:basedOn w:val="Normal"/>
    <w:link w:val="lastparaChar"/>
    <w:qFormat/>
    <w:rsid w:val="00A0368F"/>
    <w:pPr>
      <w:spacing w:after="480" w:line="480" w:lineRule="auto"/>
      <w:ind w:firstLine="680"/>
      <w:jc w:val="both"/>
    </w:pPr>
    <w:rPr>
      <w:rFonts w:ascii="Times New Roman" w:hAnsi="Times New Roman" w:cs="Times New Roman"/>
      <w:sz w:val="24"/>
      <w:szCs w:val="24"/>
      <w:lang w:val="en-IN" w:eastAsia="en-IN"/>
    </w:rPr>
  </w:style>
  <w:style w:type="paragraph" w:customStyle="1" w:styleId="level2heading">
    <w:name w:val="level 2 heading"/>
    <w:basedOn w:val="Normal"/>
    <w:link w:val="level2headingChar"/>
    <w:qFormat/>
    <w:rsid w:val="00A0368F"/>
    <w:pPr>
      <w:spacing w:before="480" w:after="0" w:line="480" w:lineRule="auto"/>
      <w:outlineLvl w:val="1"/>
    </w:pPr>
    <w:rPr>
      <w:rFonts w:ascii="Times New Roman" w:hAnsi="Times New Roman" w:cs="Times New Roman"/>
      <w:b/>
      <w:bCs/>
      <w:color w:val="231F20"/>
      <w:sz w:val="24"/>
      <w:szCs w:val="24"/>
      <w:lang w:val="en-IN" w:eastAsia="en-IN"/>
    </w:rPr>
  </w:style>
  <w:style w:type="character" w:customStyle="1" w:styleId="lastparaChar">
    <w:name w:val="last para Char"/>
    <w:basedOn w:val="DefaultParagraphFont"/>
    <w:link w:val="lastpara"/>
    <w:rsid w:val="00A0368F"/>
    <w:rPr>
      <w:rFonts w:ascii="Times New Roman" w:hAnsi="Times New Roman" w:eastAsiaTheme="minorEastAsia" w:cs="Times New Roman"/>
      <w:sz w:val="24"/>
      <w:szCs w:val="24"/>
      <w:lang w:val="en-IN" w:eastAsia="en-IN"/>
    </w:rPr>
  </w:style>
  <w:style w:type="character" w:customStyle="1" w:styleId="level2headingChar">
    <w:name w:val="level 2 heading Char"/>
    <w:basedOn w:val="DefaultParagraphFont"/>
    <w:link w:val="level2heading"/>
    <w:rsid w:val="00A0368F"/>
    <w:rPr>
      <w:rFonts w:ascii="Times New Roman" w:hAnsi="Times New Roman" w:eastAsiaTheme="minorEastAsia" w:cs="Times New Roman"/>
      <w:b/>
      <w:bCs/>
      <w:color w:val="231F20"/>
      <w:sz w:val="24"/>
      <w:szCs w:val="24"/>
      <w:lang w:val="en-IN" w:eastAsia="en-IN"/>
    </w:rPr>
  </w:style>
  <w:style w:type="paragraph" w:customStyle="1" w:styleId="1stpara">
    <w:name w:val="1st para"/>
    <w:basedOn w:val="Normal"/>
    <w:link w:val="1stparaChar"/>
    <w:rsid w:val="00A0368F"/>
    <w:pPr>
      <w:spacing w:after="0" w:line="480" w:lineRule="auto"/>
      <w:jc w:val="both"/>
    </w:pPr>
    <w:rPr>
      <w:rFonts w:ascii="AHT Times New Roman" w:hAnsi="AHT Times New Roman"/>
      <w:sz w:val="24"/>
      <w:szCs w:val="24"/>
      <w:lang w:val="en-IN" w:eastAsia="en-IN"/>
    </w:rPr>
  </w:style>
  <w:style w:type="character" w:customStyle="1" w:styleId="1stparaChar">
    <w:name w:val="1st para Char"/>
    <w:basedOn w:val="DefaultParagraphFont"/>
    <w:link w:val="1stpara"/>
    <w:rsid w:val="00A0368F"/>
    <w:rPr>
      <w:rFonts w:ascii="AHT Times New Roman" w:hAnsi="AHT Times New Roman" w:eastAsiaTheme="minorEastAsia"/>
      <w:sz w:val="24"/>
      <w:szCs w:val="24"/>
      <w:lang w:val="en-IN" w:eastAsia="en-IN"/>
    </w:rPr>
  </w:style>
  <w:style w:type="paragraph" w:customStyle="1" w:styleId="Intending">
    <w:name w:val="Intending"/>
    <w:basedOn w:val="Normal"/>
    <w:link w:val="IntendingChar"/>
    <w:qFormat/>
    <w:rsid w:val="00A0368F"/>
    <w:pPr>
      <w:spacing w:after="0" w:line="240" w:lineRule="auto"/>
      <w:ind w:left="680" w:right="680"/>
      <w:jc w:val="both"/>
    </w:pPr>
    <w:rPr>
      <w:rFonts w:ascii="Times New Roman" w:hAnsi="Times New Roman" w:cs="Times New Roman"/>
      <w:sz w:val="24"/>
      <w:szCs w:val="24"/>
      <w:lang w:val="en-IN" w:eastAsia="en-IN"/>
    </w:rPr>
  </w:style>
  <w:style w:type="character" w:customStyle="1" w:styleId="IntendingChar">
    <w:name w:val="Intending Char"/>
    <w:basedOn w:val="DefaultParagraphFont"/>
    <w:link w:val="Intending"/>
    <w:rsid w:val="00A0368F"/>
    <w:rPr>
      <w:rFonts w:ascii="Times New Roman" w:hAnsi="Times New Roman" w:eastAsiaTheme="minorEastAsia" w:cs="Times New Roman"/>
      <w:sz w:val="24"/>
      <w:szCs w:val="24"/>
      <w:lang w:val="en-IN" w:eastAsia="en-IN"/>
    </w:rPr>
  </w:style>
  <w:style w:type="paragraph" w:customStyle="1" w:styleId="normal0">
    <w:name w:val="normal"/>
    <w:rsid w:val="00BB45A1"/>
    <w:rPr>
      <w:rFonts w:ascii="Calibri" w:eastAsia="Calibri" w:hAnsi="Calibri" w:cs="Calibri"/>
      <w:lang w:val="en-IN"/>
    </w:rPr>
  </w:style>
  <w:style w:type="character" w:customStyle="1" w:styleId="reference-text">
    <w:name w:val="reference-text"/>
    <w:basedOn w:val="DefaultParagraphFont"/>
    <w:rsid w:val="0044124F"/>
  </w:style>
  <w:style w:type="character" w:customStyle="1" w:styleId="anchor-text">
    <w:name w:val="anchor-text"/>
    <w:basedOn w:val="DefaultParagraphFont"/>
    <w:rsid w:val="0044124F"/>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customXml" Target="../customXml/item1.xml" /><Relationship Id="rId6" Type="http://schemas.openxmlformats.org/officeDocument/2006/relationships/header" Target="header1.xml" /><Relationship Id="rId7" Type="http://schemas.openxmlformats.org/officeDocument/2006/relationships/header" Target="header2.xml" /><Relationship Id="rId8" Type="http://schemas.openxmlformats.org/officeDocument/2006/relationships/footer" Target="footer1.xml" /><Relationship Id="rId9" Type="http://schemas.openxmlformats.org/officeDocument/2006/relationships/header" Target="head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b:Source>
    <b:Tag>Chi05</b:Tag>
    <b:SourceType>Book</b:SourceType>
    <b:Guid>{325BA870-579B-477C-AC6A-7C185DE6E705}</b:Guid>
    <b:Title>Islamic microfinance and socially responsible Investments</b:Title>
    <b:Year>2005</b:Year>
    <b:Publisher>University of Torino</b:Publisher>
    <b:Author>
      <b:Author>
        <b:NameList>
          <b:Person>
            <b:Last>Segrado</b:Last>
            <b:First>Chiara</b:First>
          </b:Person>
        </b:NameList>
      </b:Author>
    </b:Author>
    <b:RefOrder>1</b:RefOrder>
  </b:Source>
  <b:Source>
    <b:Tag>Muh071</b:Tag>
    <b:SourceType>Book</b:SourceType>
    <b:Guid>{A02058E5-18C0-4FFA-9B13-81343F2559B8}</b:Guid>
    <b:Title>Creating A World Without Poverty: Social Business and the Futire Capitalism </b:Title>
    <b:Year>2007</b:Year>
    <b:Publisher>Public Affairs </b:Publisher>
    <b:City>New York </b:City>
    <b:Author>
      <b:Author>
        <b:NameList>
          <b:Person>
            <b:Last>Yunus</b:Last>
            <b:First>Muhammad</b:First>
          </b:Person>
        </b:NameList>
      </b:Author>
    </b:Author>
    <b:RefOrder>2</b:RefOrder>
  </b:Source>
  <b:Source>
    <b:Tag>Moh08</b:Tag>
    <b:SourceType>Book</b:SourceType>
    <b:Guid>{420DF6AD-BE5A-48DA-8DB9-FE68F85E94A7}</b:Guid>
    <b:Author>
      <b:Author>
        <b:NameList>
          <b:Person>
            <b:Last>Obaidullah</b:Last>
            <b:First>Mohammed</b:First>
          </b:Person>
        </b:NameList>
      </b:Author>
    </b:Author>
    <b:Title>Introduction to Islamic Microfinance</b:Title>
    <b:Year>2008</b:Year>
    <b:City>Delhi</b:City>
    <b:Publisher>IBF Net </b:Publisher>
    <b:RefOrder>3</b:RefOrder>
  </b:Source>
  <b:Source>
    <b:Tag>May13</b:Tag>
    <b:SourceType>Misc</b:SourceType>
    <b:Guid>{B28DE488-AAC2-4CEE-A985-A75340DA7B87}</b:Guid>
    <b:Title>Trends in Sharia Compliant Financial Inclusion</b:Title>
    <b:Year>2013</b:Year>
    <b:Publisher>CGAP</b:Publisher>
    <b:City>Washington</b:City>
    <b:Author>
      <b:Author>
        <b:NameList>
          <b:Person>
            <b:Last>El-Zoghbi</b:Last>
            <b:First>Michael</b:First>
            <b:Middle>Tarazi and Mayada</b:Middle>
          </b:Person>
        </b:NameList>
      </b:Author>
    </b:Author>
    <b:PublicationTitle>CGAP Focus Note</b:PublicationTitle>
    <b:Month>March</b:Month>
    <b:CountryRegion>The United States</b:CountryRegion>
    <b:RefOrder>4</b:RefOrder>
  </b:Source>
  <b:Source>
    <b:Tag>San12</b:Tag>
    <b:SourceType>Report</b:SourceType>
    <b:Guid>{F381947C-CE64-4D63-9380-B599435111BE}</b:Guid>
    <b:Title>Islamic Micro and Small Medium Enterprise (MSME) Finance Survey</b:Title>
    <b:Year>2012</b:Year>
    <b:City>Cairo </b:City>
    <b:Publisher>Sanabel The Microfinance Newtwork of Arab Countries </b:Publisher>
    <b:Author>
      <b:Author>
        <b:Corporate>Sanabel</b:Corporate>
      </b:Author>
    </b:Author>
    <b:RefOrder>5</b:RefOrder>
  </b:Source>
  <b:Source>
    <b:Tag>Fam10</b:Tag>
    <b:SourceType>Report</b:SourceType>
    <b:Guid>{827A822A-BEC7-4B81-938D-113991DD9974}</b:Guid>
    <b:Author>
      <b:Author>
        <b:Corporate>Family Bank</b:Corporate>
      </b:Author>
    </b:Author>
    <b:Title>Family Bank Annual Report</b:Title>
    <b:Year>2010</b:Year>
    <b:City>Bahrain </b:City>
    <b:Publisher>Family Bank </b:Publisher>
    <b:RefOrder>6</b:RefOrder>
  </b:Source>
  <b:Source>
    <b:Tag>Fat10</b:Tag>
    <b:SourceType>Misc</b:SourceType>
    <b:Guid>{CAEA937C-5131-4D86-A7B7-FFAF921D48C5}</b:Guid>
    <b:Author>
      <b:Author>
        <b:NameList>
          <b:Person>
            <b:Last>Balooshi</b:Last>
            <b:First>Fathima</b:First>
            <b:Middle>Bint Mohammed Al</b:Middle>
          </b:Person>
        </b:NameList>
      </b:Author>
    </b:Author>
    <b:Title>Chair Persons's Report </b:Title>
    <b:Year>2010</b:Year>
    <b:Publisher>Family Bank</b:Publisher>
    <b:City>Manama</b:City>
    <b:PublicationTitle>Family Bank Annual Report </b:PublicationTitle>
    <b:CountryRegion>Bahrain </b:CountryRegion>
    <b:RefOrder>7</b:RefOrder>
  </b:Source>
  <b:Source>
    <b:Tag>Fam12</b:Tag>
    <b:SourceType>Report</b:SourceType>
    <b:Guid>{C6737CC3-7009-4AED-BC1F-FADEABCD1484}</b:Guid>
    <b:Author>
      <b:Author>
        <b:Corporate>Family Bank</b:Corporate>
      </b:Author>
    </b:Author>
    <b:Title>Family Bank Annual Report</b:Title>
    <b:Year>2012</b:Year>
    <b:Publisher>Family Bank</b:Publisher>
    <b:City>Bahrain</b:City>
    <b:RefOrder>8</b:RefOrder>
  </b:Source>
  <b:Source>
    <b:Tag>Faa11</b:Tag>
    <b:SourceType>Report</b:SourceType>
    <b:Guid>{6503B93F-0556-4433-A43C-8986752AFFE8}</b:Guid>
    <b:Author>
      <b:Author>
        <b:Corporate>Family bank</b:Corporate>
      </b:Author>
    </b:Author>
    <b:Title>Family Bank Annual Report</b:Title>
    <b:Year>2011</b:Year>
    <b:City>Bahrain</b:City>
    <b:Publisher>Family Bank</b:Publisher>
    <b:RefOrder>9</b:RefOrder>
  </b:Source>
  <b:Source>
    <b:Tag>Fam14</b:Tag>
    <b:SourceType>Report</b:SourceType>
    <b:Guid>{F5B9F925-BDA2-43DE-BB38-5DD568528732}</b:Guid>
    <b:Author>
      <b:Author>
        <b:Corporate>Family Bank </b:Corporate>
      </b:Author>
    </b:Author>
    <b:Title>The Power of Microfinance An Era of Achievements</b:Title>
    <b:Year>2014</b:Year>
    <b:Publisher>Family Bank </b:Publisher>
    <b:City>Manama</b:City>
    <b:RefOrder>10</b:RefOrder>
  </b:Source>
  <b:Source>
    <b:Tag>Fam151</b:Tag>
    <b:SourceType>Report</b:SourceType>
    <b:Guid>{310B827B-58F0-4871-95C6-97A2633D7E3C}</b:Guid>
    <b:Author>
      <b:Author>
        <b:Corporate>Family Bank </b:Corporate>
      </b:Author>
    </b:Author>
    <b:Title>Unified Shari'a Supervisory Board report, Report of the Board of Directors, Indepedent Auditor's Report and Financial Statements </b:Title>
    <b:Year>2015</b:Year>
    <b:Publisher>Family Bank </b:Publisher>
    <b:City>Manama</b:City>
    <b:RefOrder>11</b:RefOrder>
  </b:Source>
  <b:Source>
    <b:Tag>Vij05</b:Tag>
    <b:SourceType>ArticleInAPeriodical</b:SourceType>
    <b:Guid>{43F8406A-A532-43A3-A017-A1EB4AEC1BCC}</b:Guid>
    <b:Author>
      <b:Author>
        <b:NameList>
          <b:Person>
            <b:Last>Mahajan</b:Last>
            <b:First>Vijay</b:First>
          </b:Person>
        </b:NameList>
      </b:Author>
    </b:Author>
    <b:Title>From Microcredit to Livelihood Finance</b:Title>
    <b:Year>2005</b:Year>
    <b:Month>October</b:Month>
    <b:Day>8</b:Day>
    <b:Pages>4416-4419</b:Pages>
    <b:PeriodicalTitle>Economic and Political Weekly</b:PeriodicalTitle>
    <b:RefOrder>12</b:RefOrder>
  </b:Source>
  <b:Source>
    <b:Tag>Placeholder2</b:Tag>
    <b:SourceType>Report</b:SourceType>
    <b:Guid>{68989E43-150B-4572-BD68-AC6598030D3C}</b:Guid>
    <b:Author>
      <b:Author>
        <b:Corporate>Family Bank</b:Corporate>
      </b:Author>
    </b:Author>
    <b:Title>Annual Financial Statement </b:Title>
    <b:Year>2010</b:Year>
    <b:Publisher>Family Bank </b:Publisher>
    <b:City>Bahrain</b:City>
    <b:RefOrder>13</b:RefOrder>
  </b:Source>
  <b:Source>
    <b:Tag>Placeholder3</b:Tag>
    <b:SourceType>Report</b:SourceType>
    <b:Guid>{3CD672EC-B0B4-4A11-AD7D-35450EE9FB1D}</b:Guid>
    <b:Author>
      <b:Author>
        <b:Corporate>Family Bank</b:Corporate>
      </b:Author>
    </b:Author>
    <b:Title>Annual Financial Statement</b:Title>
    <b:Year>2011</b:Year>
    <b:Publisher>Family Bank</b:Publisher>
    <b:City>Bahrain</b:City>
    <b:RefOrder>14</b:RefOrder>
  </b:Source>
  <b:Source>
    <b:Tag>Placeholder4</b:Tag>
    <b:SourceType>Report</b:SourceType>
    <b:Guid>{994EA876-B45D-45F3-BE70-7DBC51805FA2}</b:Guid>
    <b:Author>
      <b:Author>
        <b:Corporate>Family Bank</b:Corporate>
      </b:Author>
    </b:Author>
    <b:Title>Annual Financial Statement</b:Title>
    <b:Year>2012</b:Year>
    <b:Publisher>Family Bank</b:Publisher>
    <b:City>Bahrain</b:City>
    <b:RefOrder>15</b:RefOrder>
  </b:Source>
  <b:Source>
    <b:Tag>Placeholder5</b:Tag>
    <b:SourceType>Report</b:SourceType>
    <b:Guid>{6FDC3DB9-A70B-4F43-B308-38E5FBA3A425}</b:Guid>
    <b:Author>
      <b:Author>
        <b:Corporate>Family Bank</b:Corporate>
      </b:Author>
    </b:Author>
    <b:Title>Annual Finanicial Statement</b:Title>
    <b:Year>2013</b:Year>
    <b:Publisher>Family Bank</b:Publisher>
    <b:City>Bahrain</b:City>
    <b:RefOrder>16</b:RefOrder>
  </b:Source>
  <b:Source>
    <b:Tag>Fam141</b:Tag>
    <b:SourceType>Report</b:SourceType>
    <b:Guid>{AE789B84-C971-4A05-8CB3-659E2CB41873}</b:Guid>
    <b:Author>
      <b:Author>
        <b:Corporate>Family Bank </b:Corporate>
      </b:Author>
    </b:Author>
    <b:Title>Family Bank Annua Financial Statement </b:Title>
    <b:Year>2014</b:Year>
    <b:Publisher>Family Bank </b:Publisher>
    <b:City>Manama</b:City>
    <b:RefOrder>17</b:RefOrder>
  </b:Source>
  <b:Source>
    <b:Tag>Fam15</b:Tag>
    <b:SourceType>Report</b:SourceType>
    <b:Guid>{3ED579B6-F5D8-4967-A989-86061940A173}</b:Guid>
    <b:Author>
      <b:Author>
        <b:Corporate>Family Bank </b:Corporate>
      </b:Author>
    </b:Author>
    <b:Title>Family Bank Annual Financial Statement </b:Title>
    <b:Year>2015</b:Year>
    <b:Publisher>Family Bank </b:Publisher>
    <b:City>Manama</b:City>
    <b:RefOrder>18</b:RefOrder>
  </b:Source>
  <b:Source>
    <b:Tag>Fam123</b:Tag>
    <b:SourceType>Report</b:SourceType>
    <b:Guid>{C5BCB51A-250E-49C0-87C8-60D6A5C286B4}</b:Guid>
    <b:Author>
      <b:Author>
        <b:Corporate>Family Bank </b:Corporate>
      </b:Author>
    </b:Author>
    <b:Title>Reportt of the Board of Directors, Independent Auditor's Report and Financial Statements </b:Title>
    <b:Year>2012</b:Year>
    <b:Publisher>Family Bank </b:Publisher>
    <b:City>Manama</b:City>
    <b:RefOrder>19</b:RefOrder>
  </b:Source>
  <b:Source>
    <b:Tag>Fam132</b:Tag>
    <b:SourceType>Report</b:SourceType>
    <b:Guid>{CA4C99A3-19A4-4AF7-A2D7-8FA8245ADC51}</b:Guid>
    <b:Author>
      <b:Author>
        <b:Corporate>Family Bank </b:Corporate>
      </b:Author>
    </b:Author>
    <b:Title>Shari'a Supervisory Board Report, Report of the Board of Directors, Independent Auditor's Report and Financial Statements </b:Title>
    <b:Year>2013</b:Year>
    <b:Publisher>Family Bank </b:Publisher>
    <b:City>Manama</b:City>
    <b:RefOrder>20</b:RefOrder>
  </b:Source>
  <b:Source>
    <b:Tag>Fam142</b:Tag>
    <b:SourceType>Report</b:SourceType>
    <b:Guid>{3A6D371F-C5A5-4473-B520-C3EA24903B72}</b:Guid>
    <b:Author>
      <b:Author>
        <b:Corporate>Family Bank </b:Corporate>
      </b:Author>
    </b:Author>
    <b:Title>Report of the Board of Directors, Independent Auditor's Report and Financial Statements </b:Title>
    <b:Year>2014</b:Year>
    <b:Publisher>Family Bank</b:Publisher>
    <b:City>Manama</b:City>
    <b:RefOrder>21</b:RefOrder>
  </b:Source>
  <b:Source>
    <b:Tag>Fam122</b:Tag>
    <b:SourceType>Report</b:SourceType>
    <b:Guid>{720E0123-88FC-46FF-95CB-6141AB46D233}</b:Guid>
    <b:Author>
      <b:Author>
        <b:Corporate>Family Bank </b:Corporate>
      </b:Author>
    </b:Author>
    <b:Title>Family Bank Success Stories </b:Title>
    <b:Year>2012</b:Year>
    <b:Publisher>Family Bank </b:Publisher>
    <b:City>Manama</b:City>
    <b:RefOrder>22</b:RefOrder>
  </b:Source>
  <b:Source>
    <b:Tag>Fam101</b:Tag>
    <b:SourceType>Report</b:SourceType>
    <b:Guid>{147D1F89-7690-4FA8-9078-44126E4A976C}</b:Guid>
    <b:Author>
      <b:Author>
        <b:Corporate>Family Bank</b:Corporate>
      </b:Author>
    </b:Author>
    <b:Title>Family Bank Annual Financial Statement</b:Title>
    <b:Year>2010</b:Year>
    <b:Publisher>Family Bank</b:Publisher>
    <b:City>Bahrain</b:City>
    <b:RefOrder>23</b:RefOrder>
  </b:Source>
  <b:Source>
    <b:Tag>Fam11</b:Tag>
    <b:SourceType>Report</b:SourceType>
    <b:Guid>{1E730F3D-711A-4D58-8522-4303D9A0CD0B}</b:Guid>
    <b:Author>
      <b:Author>
        <b:Corporate>Family Bank</b:Corporate>
      </b:Author>
    </b:Author>
    <b:Title>Family Bank Annual Financial Statement</b:Title>
    <b:Year>2011</b:Year>
    <b:Publisher>Family Bank</b:Publisher>
    <b:City>Bahrain</b:City>
    <b:RefOrder>24</b:RefOrder>
  </b:Source>
  <b:Source>
    <b:Tag>Fam121</b:Tag>
    <b:SourceType>Report</b:SourceType>
    <b:Guid>{21ACDF6A-CA73-4923-98E0-C33026313D8C}</b:Guid>
    <b:Author>
      <b:Author>
        <b:Corporate>Family Bank</b:Corporate>
      </b:Author>
    </b:Author>
    <b:Title>Family Bank Annual Financial Statement</b:Title>
    <b:Year>2012</b:Year>
    <b:Publisher>Family Bank</b:Publisher>
    <b:City>Bahrain</b:City>
    <b:RefOrder>25</b:RefOrder>
  </b:Source>
  <b:Source>
    <b:Tag>Fam13</b:Tag>
    <b:SourceType>Report</b:SourceType>
    <b:Guid>{D1307FF0-3972-42A5-9017-C1D3968B6155}</b:Guid>
    <b:Author>
      <b:Author>
        <b:Corporate>Family Bank</b:Corporate>
      </b:Author>
    </b:Author>
    <b:Title>Fmily Bank Annual Finanicial Statement</b:Title>
    <b:Year>2013</b:Year>
    <b:Publisher>Family Bank</b:Publisher>
    <b:City>Bahrain</b:City>
    <b:RefOrder>26</b:RefOrder>
  </b:Source>
  <b:Source>
    <b:Tag>Wor16</b:Tag>
    <b:SourceType>InternetSite</b:SourceType>
    <b:Guid>{A22A3A8A-8283-42E2-9285-E13CA2E39497}</b:Guid>
    <b:Year>2016</b:Year>
    <b:Author>
      <b:Author>
        <b:Corporate>World Bank </b:Corporate>
      </b:Author>
    </b:Author>
    <b:InternetSiteTitle>www.worldbank.org</b:InternetSiteTitle>
    <b:Month>May </b:Month>
    <b:Day>28</b:Day>
    <b:URL>http://data.worldbank.org/indicator/SL.UEM.TOTL.ZS</b:URL>
    <b:RefOrder>27</b:RefOrder>
  </b:Source>
  <b:Source>
    <b:Tag>Uni15</b:Tag>
    <b:SourceType>Report</b:SourceType>
    <b:Guid>{C6B176EA-3111-4F70-8B49-8EC4E720DEFB}</b:Guid>
    <b:Title>Human Development Report for Bahrain </b:Title>
    <b:Year>2015</b:Year>
    <b:Author>
      <b:Author>
        <b:Corporate>United Nations Development Programme </b:Corporate>
      </b:Author>
    </b:Author>
    <b:Publisher>United Nations Development Programme </b:Publisher>
    <b:City>New York</b:City>
    <b:RefOrder>28</b:RefOrder>
  </b:Source>
  <b:Source>
    <b:Tag>Nim08</b:Tag>
    <b:SourceType>Misc</b:SourceType>
    <b:Guid>{12260663-887C-4FAB-8495-84B27DD9FC5B}</b:Guid>
    <b:Author>
      <b:Author>
        <b:NameList>
          <b:Person>
            <b:Last>Nimrah Karim</b:Last>
            <b:First>Michael</b:First>
            <b:Middle>Tarazi and Xavier Reille</b:Middle>
          </b:Person>
        </b:NameList>
      </b:Author>
    </b:Author>
    <b:Title>Islamic Microfinance: An Emerging Market Niche</b:Title>
    <b:PublicationTitle>CGAP Focus Note </b:PublicationTitle>
    <b:Year>2008</b:Year>
    <b:Month>August</b:Month>
    <b:City>Washington </b:City>
    <b:CountryRegion>The United States </b:CountryRegion>
    <b:Publisher>CGAP</b:Publisher>
    <b:RefOrder>29</b:RefOrder>
  </b:Source>
  <b:Source>
    <b:Tag>Zar07</b:Tag>
    <b:SourceType>Report</b:SourceType>
    <b:Guid>{E92C70C5-5113-47E6-9993-52CBEBF0C3E7}</b:Guid>
    <b:Title>Conspiring Against the Shia Of Bahrain</b:Title>
    <b:Year>2007</b:Year>
    <b:City>Ottawa </b:City>
    <b:Publisher>Shia Chat.com </b:Publisher>
    <b:Author>
      <b:Author>
        <b:NameList>
          <b:Person>
            <b:Last>Sitari</b:Last>
            <b:First>Zara</b:First>
            <b:Middle>Al</b:Middle>
          </b:Person>
        </b:NameList>
      </b:Author>
    </b:Author>
    <b:RefOrder>30</b:RefOrder>
  </b:Source>
  <b:Source>
    <b:Tag>Bet97</b:Tag>
    <b:SourceType>Report</b:SourceType>
    <b:Guid>{0D0F84A6-8709-4EAC-A204-26C8885A957C}</b:Guid>
    <b:Author>
      <b:Author>
        <b:NameList>
          <b:Person>
            <b:Last>Atti</b:Last>
            <b:First>Betty</b:First>
            <b:Middle>Wilkenson and Abdel</b:Middle>
          </b:Person>
        </b:NameList>
      </b:Author>
    </b:Author>
    <b:Title>UNDP Microfinance Assesment Report for Bahrain</b:Title>
    <b:Year>1997</b:Year>
    <b:Publisher>United Nations Development Programme</b:Publisher>
    <b:City>New York</b:City>
    <b:RefOrder>31</b:RefOrder>
  </b:Source>
  <b:Source>
    <b:Tag>Uni08</b:Tag>
    <b:SourceType>Report</b:SourceType>
    <b:Guid>{A55D2A8F-B554-4F6E-B5D6-19BC443AD8DD}</b:Guid>
    <b:Author>
      <b:Author>
        <b:Corporate>United Nations Development Programme &amp; Ministry of Social Development </b:Corporate>
      </b:Author>
    </b:Author>
    <b:Title>Expansion of Micro Finance Service to the Needy Citizens in the Kingdom of Bahrain </b:Title>
    <b:Year>2008</b:Year>
    <b:Publisher>UNDP </b:Publisher>
    <b:City>New York </b:City>
    <b:RefOrder>32</b:RefOrder>
  </b:Source>
  <b:Source>
    <b:Tag>Fam131</b:Tag>
    <b:SourceType>Report</b:SourceType>
    <b:Guid>{45A51DDF-CA3E-48E0-A499-708B65ABF360}</b:Guid>
    <b:Author>
      <b:Author>
        <b:Corporate>Family Bank </b:Corporate>
      </b:Author>
    </b:Author>
    <b:Title>Family Bank Annual Report </b:Title>
    <b:Year>2013</b:Year>
    <b:Publisher>Family Bank </b:Publisher>
    <b:City>Manama</b:City>
    <b:RefOrder>33</b:RefOrder>
  </b:Source>
  <b:Source>
    <b:Tag>Fam16</b:Tag>
    <b:SourceType>InternetSite</b:SourceType>
    <b:Guid>{B13889C3-8F2C-4EAA-A6FD-3CFB62D236B5}</b:Guid>
    <b:Title>www.familybank.com</b:Title>
    <b:Year>2016</b:Year>
    <b:Author>
      <b:Author>
        <b:Corporate>Family Bank </b:Corporate>
      </b:Author>
    </b:Author>
    <b:InternetSiteTitle>Family Bank </b:InternetSiteTitle>
    <b:Month>May </b:Month>
    <b:Day>14</b:Day>
    <b:URL>http://www.familybankbh.com/fb_products_grameen.asp</b:URL>
    <b:RefOrder>34</b:RefOrder>
  </b:Source>
  <b:Source xmlns:b="http://schemas.openxmlformats.org/officeDocument/2006/bibliography">
    <b:Tag>AVN13</b:Tag>
    <b:SourceType>JournalArticle</b:SourceType>
    <b:Guid>{30455C18-CA7A-4AC3-906E-D66AC7678192}</b:Guid>
    <b:Title>Micro finance- A Tool to Serve the Poor: A Study on Global and Indian Scenario</b:Title>
    <b:Year>2013</b:Year>
    <b:Author>
      <b:Author>
        <b:NameList>
          <b:Person>
            <b:Last>AVN Murty</b:Last>
            <b:First>Tapesh</b:First>
            <b:Middle>Kiran &amp; Nidhi Goel</b:Middle>
          </b:Person>
        </b:NameList>
      </b:Author>
    </b:Author>
    <b:JournalName>International Journal of Research &amp; Development in Technology and Management Sciences</b:JournalName>
    <b:Pages>1-22</b:Pages>
    <b:RefOrder>35</b:RefOrder>
  </b:Source>
  <b:Source>
    <b:Tag>Ate11</b:Tag>
    <b:SourceType>JournalArticle</b:SourceType>
    <b:Guid>{0CF2FF7F-78EF-4AC5-A814-9906FACBE24E}</b:Guid>
    <b:Author>
      <b:Author>
        <b:NameList>
          <b:Person>
            <b:Last>Elshabrawy</b:Last>
            <b:First>Atef</b:First>
          </b:Person>
        </b:NameList>
      </b:Author>
    </b:Author>
    <b:JournalName>Tamkeen</b:JournalName>
    <b:Year>2011</b:Year>
    <b:Pages>1-18</b:Pages>
    <b:RefOrder>36</b:RefOrder>
  </b:Source>
  <b:Source>
    <b:Tag>Atef11</b:Tag>
    <b:SourceType>ConferenceProceedings</b:SourceType>
    <b:Guid>{BDBD95F0-DAB3-4610-BC6E-7FD4945CDAA1}</b:Guid>
    <b:Year>2011</b:Year>
    <b:City>Manama</b:City>
    <b:Publisher>University of Essex</b:Publisher>
    <b:Author>
      <b:Author>
        <b:NameList>
          <b:Person>
            <b:Last>Elshabrawy</b:Last>
            <b:First>Atef</b:First>
          </b:Person>
        </b:NameList>
      </b:Author>
    </b:Author>
    <b:Pages>1-18</b:Pages>
    <b:ConferenceName>Tamkeen</b:ConferenceName>
    <b:RefOrder>37</b:RefOrder>
  </b:Source>
  <b:Source>
    <b:Tag>Ate12</b:Tag>
    <b:SourceType>Interview</b:SourceType>
    <b:Guid>{91538406-A2B3-4BA2-B30A-8F0E89CFD721}</b:Guid>
    <b:Author>
      <b:Interviewee>
        <b:NameList>
          <b:Person>
            <b:Last>Elshabrawy</b:Last>
            <b:First>Atef</b:First>
          </b:Person>
        </b:NameList>
      </b:Interviewee>
      <b:Interviewer>
        <b:NameList>
          <b:Person>
            <b:Last>Puthenpeedikayil</b:Last>
            <b:First>Sajid</b:First>
          </b:Person>
        </b:NameList>
      </b:Interviewer>
    </b:Author>
    <b:Year>2012</b:Year>
    <b:Month>January</b:Month>
    <b:Day>28</b:Day>
    <b:RefOrder>38</b:RefOrder>
  </b:Source>
  <b:Source>
    <b:Tag>Placeholder1</b:Tag>
    <b:SourceType>Report</b:SourceType>
    <b:Guid>{5E39ACE8-88C5-489C-BDE5-2CB7768E9D7A}</b:Guid>
    <b:Author>
      <b:Author>
        <b:Corporate>Family bank</b:Corporate>
      </b:Author>
    </b:Author>
    <b:Title>Family Bank Annual Report</b:Title>
    <b:Year>2011</b:Year>
    <b:City>Bahrain</b:City>
    <b:Publisher>Family Bank</b:Publisher>
    <b:RefOrder>39</b:RefOrder>
  </b:Source>
  <b:Source>
    <b:Tag>Placeholder6</b:Tag>
    <b:SourceType>InternetSite</b:SourceType>
    <b:Guid>{6BAB038A-2F13-4A7D-BD54-ABA3A588F0E1}</b:Guid>
    <b:Author>
      <b:Author>
        <b:Corporate>Family Bank</b:Corporate>
      </b:Author>
    </b:Author>
    <b:Title>Unified Shari'a Supervisory Board report, Report of the Board of Directors, Indepedent Auditor's Report and Financial Statements</b:Title>
    <b:Year>2015</b:Year>
    <b:Publisher>Family Bank</b:Publisher>
    <b:City>Manama</b:City>
    <b:InternetSiteTitle>http://familybankbh.com</b:InternetSiteTitle>
    <b:URL>http://familybankbh.com/wp-content/uploads/2016/04/Annual-Audited-Financial-Statement-2015.pdf</b:URL>
    <b:RefOrder>40</b:RefOrder>
  </b:Source>
  <b:Source>
    <b:Tag>Lab16</b:Tag>
    <b:SourceType>InternetSite</b:SourceType>
    <b:Guid>{A105073D-A136-4B2A-AAE7-6102F23456FB}</b:Guid>
    <b:Title>Labor force participation rate, female (% of female population ages 15+) (modeled ILO estimate)</b:Title>
    <b:Year>2016</b:Year>
    <b:InternetSiteTitle>www.worldbank.org</b:InternetSiteTitle>
    <b:Month>May</b:Month>
    <b:Day>28</b:Day>
    <b:URL>http://data.worldbank.org/indicator/SL.TLF.CACT.FE.ZS</b:URL>
    <b:RefOrder>41</b:RefOrder>
  </b:Source>
  <b:Source>
    <b:Tag>Eil11</b:Tag>
    <b:SourceType>Book</b:SourceType>
    <b:Guid>{6743991B-3436-45B2-A883-9181CFD4F755}</b:Guid>
    <b:Title>Narrative history and theory</b:Title>
    <b:Year>2011</b:Year>
    <b:Author>
      <b:Author>
        <b:NameList>
          <b:Person>
            <b:Last>Tamura</b:Last>
            <b:First>Eileen</b:First>
            <b:Middle>H.</b:Middle>
          </b:Person>
        </b:NameList>
      </b:Author>
    </b:Author>
    <b:Publisher>Cambridge University press</b:Publisher>
    <b:RefOrder>42</b:RefOrder>
  </b:Source>
  <b:Source>
    <b:Tag>Yas20</b:Tag>
    <b:SourceType>ArticleInAPeriodical</b:SourceType>
    <b:Guid>{0AF4B0FD-AD46-4E6D-9037-3A4BDFD9EB55}</b:Guid>
    <b:Author>
      <b:Author>
        <b:NameList>
          <b:Person>
            <b:Last>Yashee</b:Last>
          </b:Person>
        </b:NameList>
      </b:Author>
    </b:Author>
    <b:Title> Why do Muslims sacrifice animals on Eid-al-Adha or Baqreid </b:Title>
    <b:PeriodicalTitle>The Indian Express</b:PeriodicalTitle>
    <b:Year>2020</b:Year>
    <b:RefOrder>43</b:RefOrder>
  </b:Source>
  <b:Source>
    <b:Tag>Aar97</b:Tag>
    <b:SourceType>Book</b:SourceType>
    <b:Guid>{9EE6822E-E066-4CAD-A236-3BA467702015}</b:Guid>
    <b:Title>Impossible Ethics: A Response to the Sacrifice of Ishāq. Caputo, John D. The Prayers and Tears of Jacques Derrida</b:Title>
    <b:Year>1997</b:Year>
    <b:Author>
      <b:Author>
        <b:NameList>
          <b:Person>
            <b:Last>Hollande</b:Last>
            <b:First>Aaron</b:First>
          </b:Person>
        </b:NameList>
      </b:Author>
    </b:Author>
    <b:Publisher>Indiana University Press</b:Publisher>
    <b:RefOrder>44</b:RefOrder>
  </b:Source>
  <b:Source>
    <b:Tag>Der95</b:Tag>
    <b:SourceType>Book</b:SourceType>
    <b:Guid>{BF1BC74A-CE02-4889-9820-812A83E16A8D}</b:Guid>
    <b:Author>
      <b:Author>
        <b:NameList>
          <b:Person>
            <b:Last>Derrida</b:Last>
            <b:First>Jacques.</b:First>
            <b:Middle>trans. D. Wills.</b:Middle>
          </b:Person>
        </b:NameList>
      </b:Author>
    </b:Author>
    <b:Title>The Gift of Death</b:Title>
    <b:Year>1995</b:Year>
    <b:Publisher>ChicagoUniversity Press</b:Publisher>
    <b:RefOrder>45</b:RefOrder>
  </b:Source>
  <b:Source>
    <b:Tag>Kie83</b:Tag>
    <b:SourceType>Book</b:SourceType>
    <b:Guid>{1855B49F-6281-499E-B6AD-06E133418FDD}</b:Guid>
    <b:Author>
      <b:Author>
        <b:NameList>
          <b:Person>
            <b:Last>Kierkegaard</b:Last>
            <b:First>Søren.</b:First>
            <b:Middle>trans. H. V. Hong and E. H. Hong.</b:Middle>
          </b:Person>
        </b:NameList>
      </b:Author>
    </b:Author>
    <b:Title> Fear and Trembling</b:Title>
    <b:Year>1983</b:Year>
    <b:Publisher>PrincetonUniversity Press</b:Publisher>
    <b:RefOrder>46</b:RefOrder>
  </b:Source>
  <b:Source>
    <b:Tag>Jon12</b:Tag>
    <b:SourceType>Book</b:SourceType>
    <b:Guid>{EA6ACA32-F13A-499A-A461-AE724338C7BA}</b:Guid>
    <b:Author>
      <b:Author>
        <b:NameList>
          <b:Person>
            <b:Last>Levenson</b:Last>
            <b:First>Jon</b:First>
            <b:Middle>D.</b:Middle>
          </b:Person>
        </b:NameList>
      </b:Author>
    </b:Author>
    <b:Title> Inheriting Abraham: The Legacy of the Patriarch in Judaism, Christianity, and Islam. </b:Title>
    <b:Year>2012</b:Year>
    <b:Publisher>Princeton University Press</b:Publisher>
    <b:RefOrder>47</b:RefOrder>
  </b:Source>
  <b:Source>
    <b:Tag>Ibn06</b:Tag>
    <b:SourceType>Book</b:SourceType>
    <b:Guid>{CD0EF08B-137A-4BBA-97D9-4FA8B041B04B}</b:Guid>
    <b:Author>
      <b:Author>
        <b:NameList>
          <b:Person>
            <b:Last>al-Jawziyyah</b:Last>
            <b:First>Ibn</b:First>
            <b:Middle>Qayyim</b:Middle>
          </b:Person>
        </b:NameList>
      </b:Author>
    </b:Author>
    <b:Title>Zad al-maʿad fi hadyi khayr al-ʿibad</b:Title>
    <b:Year>2006</b:Year>
    <b:City> Beirut</b:City>
    <b:Publisher> Dar Ibn Rajab</b:Publisher>
    <b:RefOrder>48</b:RefOrder>
  </b:Source>
  <b:Source>
    <b:Tag>Gab</b:Tag>
    <b:SourceType>Book</b:SourceType>
    <b:Guid>{ADDAD557-E3AA-4C19-9EAD-360863585216}</b:Guid>
    <b:Author>
      <b:Author>
        <b:NameList>
          <b:Person>
            <b:Last>Reynolds</b:Last>
            <b:First>Gabriel</b:First>
            <b:Middle>Said</b:Middle>
          </b:Person>
        </b:NameList>
      </b:Author>
    </b:Author>
    <b:Title> Abraham in Judaism, Christianity, and Islam</b:Title>
    <b:RefOrder>49</b:RefOrder>
  </b:Source>
  <b:Source>
    <b:Tag>Ben20</b:Tag>
    <b:SourceType>ArticleInAPeriodical</b:SourceType>
    <b:Guid>{878E444C-4117-46FE-95C5-8A768DA03AC7}</b:Guid>
    <b:Author>
      <b:Author>
        <b:NameList>
          <b:Person>
            <b:Last>Bennett</b:Last>
            <b:First>Matt</b:First>
          </b:Person>
        </b:NameList>
      </b:Author>
    </b:Author>
    <b:Title>Many approaches to religious studies refer to Judaism, Christianity, and Islam as “Abrahamic religions.”</b:Title>
    <b:Year>2020</b:Year>
    <b:RefOrder>50</b:RefOrder>
  </b:Source>
  <b:Source>
    <b:Tag>VPL94</b:Tag>
    <b:SourceType>Book</b:SourceType>
    <b:Guid>{D3CA2EA2-22E8-4390-ACDA-975A4E0560DB}</b:Guid>
    <b:Author>
      <b:Author>
        <b:NameList>
          <b:Person>
            <b:Last>V. P. Long</b:Last>
          </b:Person>
        </b:NameList>
      </b:Author>
    </b:Author>
    <b:Title> The Art of Biblical History </b:Title>
    <b:Year>1994</b:Year>
    <b:Publisher>Grand Rapids: Zondervan, </b:Publisher>
    <b:RefOrder>51</b:RefOrder>
  </b:Source>
  <b:Source>
    <b:Tag>Jac</b:Tag>
    <b:SourceType>Book</b:SourceType>
    <b:Guid>{66E5DBA7-709D-49FF-9271-696EB5ADD31B}</b:Guid>
    <b:Author>
      <b:Author>
        <b:NameList>
          <b:Person>
            <b:Last>Jacobsen</b:Last>
            <b:First>Thorkild</b:First>
          </b:Person>
        </b:NameList>
      </b:Author>
    </b:Author>
    <b:Title>"Mesopotamian religion". Encyclopædia Britannica</b:Title>
    <b:RefOrder>52</b:RefOrder>
  </b:Source>
  <b:Source>
    <b:Tag>Cos15</b:Tag>
    <b:SourceType>ArticleInAPeriodical</b:SourceType>
    <b:Guid>{253F7431-4B94-4D47-83BE-8D4A9FFE045D}</b:Guid>
    <b:Author>
      <b:Author>
        <b:NameList>
          <b:Person>
            <b:Last>Cosner</b:Last>
            <b:First>Lita</b:First>
          </b:Person>
        </b:NameList>
      </b:Author>
    </b:Author>
    <b:Title>Genesis as ancient historical narrative</b:Title>
    <b:Year>2015</b:Year>
    <b:RefOrder>53</b:RefOrder>
  </b:Source>
  <b:Source>
    <b:Tag>MSt85</b:Tag>
    <b:SourceType>Book</b:SourceType>
    <b:Guid>{980D641A-0565-4744-BE44-330767056E3F}</b:Guid>
    <b:Author>
      <b:Author>
        <b:NameList>
          <b:Person>
            <b:Last>Sternberg</b:Last>
            <b:First>M.</b:First>
          </b:Person>
        </b:NameList>
      </b:Author>
    </b:Author>
    <b:Title>The Poetics of Biblical Narrative: Ideological Literature and the Drama of Reading</b:Title>
    <b:Year> 1985</b:Year>
    <b:City>Bloomington</b:City>
    <b:Publisher>Indiana University Press</b:Publisher>
    <b:RefOrder>54</b:RefOrder>
  </b:Source>
  <b:Source>
    <b:Tag>ΕHM</b:Tag>
    <b:SourceType>Book</b:SourceType>
    <b:Guid>{489A76FA-115E-47C2-A830-8CF9E48A0226}</b:Guid>
    <b:Author>
      <b:Author>
        <b:NameList>
          <b:Person>
            <b:Last>Merrill</b:Last>
            <b:First>Ε</b:First>
            <b:Middle>H</b:Middle>
          </b:Person>
        </b:NameList>
      </b:Author>
    </b:Author>
    <b:Title>Old Testament History A Theological Perspective</b:Title>
    <b:RefOrder>55</b:RefOrder>
  </b:Source>
  <b:Source>
    <b:Tag>MSt851</b:Tag>
    <b:SourceType>Book</b:SourceType>
    <b:Guid>{DB7604B8-81D4-4B2A-95F9-572477382289}</b:Guid>
    <b:Author>
      <b:Author>
        <b:NameList>
          <b:Person>
            <b:Last>Sternberg</b:Last>
            <b:First>M.</b:First>
          </b:Person>
        </b:NameList>
      </b:Author>
    </b:Author>
    <b:Title>The Poetics of Biblical Narrative: Ideological Literature and the Drama of Reading </b:Title>
    <b:Year>1985</b:Year>
    <b:City>Bloomington</b:City>
    <b:Publisher>Indiana University Press</b:Publisher>
    <b:RefOrder>56</b:RefOrder>
  </b:Source>
  <b:Source>
    <b:Tag>Ami</b:Tag>
    <b:SourceType>Book</b:SourceType>
    <b:Guid>{99470631-4A88-42A3-98B0-94EF8208026D}</b:Guid>
    <b:Author>
      <b:Author>
        <b:NameList>
          <b:Person>
            <b:Last>Hussain</b:Last>
            <b:First>Amir</b:First>
          </b:Person>
        </b:NameList>
      </b:Author>
    </b:Author>
    <b:Title>Abraham, Sarah, Hagar, Ishmael and Ishāq: The Bonds of Family, Response to the Spring McGinley Lecture Delivered by Rev. Patrick Ryan, SJ</b:Title>
    <b:Year>2013</b:Year>
    <b:Publisher>Fordham University.</b:Publisher>
    <b:RefOrder>57</b:RefOrder>
  </b:Source>
  <b:Source>
    <b:Tag>Naa16</b:Tag>
    <b:SourceType>Book</b:SourceType>
    <b:Guid>{A57DCD72-61AB-456F-B31F-1FC00DFE9C27}</b:Guid>
    <b:Author>
      <b:Author>
        <b:NameList>
          <b:Person>
            <b:Last>Weiss</b:Last>
            <b:First>Naama</b:First>
          </b:Person>
        </b:NameList>
      </b:Author>
    </b:Author>
    <b:Title>The Biblical Story of the Announcement of Ishāq's Birth: A Structural Analysis </b:Title>
    <b:Year>2016</b:Year>
    <b:RefOrder>58</b:RefOrder>
  </b:Source>
  <b:Source>
    <b:Tag>DrC20</b:Tag>
    <b:SourceType>Book</b:SourceType>
    <b:Guid>{7BB197A3-EF23-4586-B0E4-FE2B8AFD8C8B}</b:Guid>
    <b:Author>
      <b:Author>
        <b:NameList>
          <b:Person>
            <b:Last>Schirrmacher</b:Last>
            <b:First>Dr.</b:First>
            <b:Middle>Christine</b:Middle>
          </b:Person>
        </b:NameList>
      </b:Author>
    </b:Author>
    <b:Title> Qur’ān and Bible compared. Matt Bennett, Scriptures Pointing Different Directions: Comparing the Qur’ān and the Bible</b:Title>
    <b:Year>2020</b:Year>
    <b:RefOrder>59</b:RefOrder>
  </b:Source>
  <b:Source>
    <b:Tag>Yad98</b:Tag>
    <b:SourceType>Book</b:SourceType>
    <b:Guid>{16F6A6C6-531B-45AA-92C4-6D9937C0962C}</b:Guid>
    <b:Author>
      <b:Author>
        <b:NameList>
          <b:Person>
            <b:Last>Kazmi</b:Last>
            <b:First>Yadullah</b:First>
          </b:Person>
        </b:NameList>
      </b:Author>
    </b:Author>
    <b:Title>The notion of history in the Qur’ān and human destiny, Islamic studies</b:Title>
    <b:Year>1998</b:Year>
    <b:RefOrder>60</b:RefOrder>
  </b:Source>
  <b:Source>
    <b:Tag>Abū</b:Tag>
    <b:SourceType>Book</b:SourceType>
    <b:Guid>{EF87BE7F-3711-4E05-9FA3-9E9CD8372A6C}</b:Guid>
    <b:Author>
      <b:Author>
        <b:NameList>
          <b:Person>
            <b:Last>al-Qādi</b:Last>
            <b:First>Abū</b:First>
            <b:Middle>Ammār Yasir</b:Middle>
          </b:Person>
        </b:NameList>
      </b:Author>
    </b:Author>
    <b:Title>An Introduction to the sciences of the Qur’ān</b:Title>
    <b:Year>1999</b:Year>
    <b:Publisher>Al-Hidaayah</b:Publisher>
    <b:RefOrder>61</b:RefOrder>
  </b:Source>
  <b:Source>
    <b:Tag>Imā</b:Tag>
    <b:SourceType>ArticleInAPeriodical</b:SourceType>
    <b:Guid>{3505F0F5-F0E6-4A82-995E-3CC354EAAEBD}</b:Guid>
    <b:Author>
      <b:Author>
        <b:NameList>
          <b:Person>
            <b:Last>al-Jubouri</b:Last>
            <b:First>Imādaldīn</b:First>
          </b:Person>
        </b:NameList>
      </b:Author>
    </b:Author>
    <b:Title>Ibn Khaldūn and the philosophy of history</b:Title>
    <b:Year>2005</b:Year>
    <b:PeriodicalTitle>Philosophy Now a magazine of ideas</b:PeriodicalTitle>
    <b:RefOrder>62</b:RefOrder>
  </b:Source>
  <b:Source>
    <b:Tag>Mad</b:Tag>
    <b:SourceType>Book</b:SourceType>
    <b:Guid>{1964CFC2-C61A-42AF-9A54-3068B3662A33}</b:Guid>
    <b:Author>
      <b:Author>
        <b:NameList>
          <b:Person>
            <b:Last>Astika</b:Last>
            <b:First>Made</b:First>
          </b:Person>
        </b:NameList>
      </b:Author>
    </b:Author>
    <b:Title>The relationship between Old and New Testament: A study on contemporary debate of methodology the Old Testament theology</b:Title>
    <b:Year>2013</b:Year>
    <b:Publisher>Semantic Scholar</b:Publisher>
    <b:RefOrder>63</b:RefOrder>
  </b:Source>
  <b:Source>
    <b:Tag>Phi</b:Tag>
    <b:SourceType>Book</b:SourceType>
    <b:Guid>{3A39D9E3-F6A6-436F-B91D-880518AF1B52}</b:Guid>
    <b:Author>
      <b:Author>
        <b:NameList>
          <b:Person>
            <b:Last>Drey</b:Last>
            <b:First>Philip</b:First>
            <b:Middle>R.</b:Middle>
          </b:Person>
        </b:NameList>
      </b:Author>
    </b:Author>
    <b:Title>The role of Hagar in Genesis</b:Title>
    <b:Year>2002</b:Year>
    <b:City>Michigan</b:City>
    <b:Publisher>Andrews University press</b:Publisher>
    <b:RefOrder>64</b:RefOrder>
  </b:Source>
  <b:Source>
    <b:Tag>Tyl15</b:Tag>
    <b:SourceType>JournalArticle</b:SourceType>
    <b:Guid>{75467627-BFE8-48FE-A139-7747A7D8844A}</b:Guid>
    <b:Author>
      <b:Author>
        <b:NameList>
          <b:Person>
            <b:Last>Drummond</b:Last>
            <b:First>Tylor</b:First>
          </b:Person>
        </b:NameList>
      </b:Author>
    </b:Author>
    <b:Title>Genesis is History</b:Title>
    <b:Year>2019</b:Year>
    <b:Month>january</b:Month>
    <b:Day>15</b:Day>
    <b:JournalName>Patheos</b:JournalName>
    <b:RefOrder>65</b:RefOrder>
  </b:Source>
  <b:Source>
    <b:Tag>Gar</b:Tag>
    <b:SourceType>JournalArticle</b:SourceType>
    <b:Guid>{BC8D0722-A931-4BC0-BBA0-0C2431EBC4C4}</b:Guid>
    <b:Author>
      <b:Author>
        <b:NameList>
          <b:Person>
            <b:Last>Herion</b:Last>
            <b:First>Gary</b:First>
            <b:Middle>A.</b:Middle>
          </b:Person>
        </b:NameList>
      </b:Author>
    </b:Author>
    <b:Title>The Role of Historical Narrative in Biblical Thought:the Tendencies Underlying Old Testament Historiography</b:Title>
    <b:Year>1981</b:Year>
    <b:JournalName>Journal for the study of the Old Testament</b:JournalName>
    <b:RefOrder>66</b:RefOrder>
  </b:Source>
  <b:Source>
    <b:Tag>Hof</b:Tag>
    <b:SourceType>Book</b:SourceType>
    <b:Guid>{00AAF223-FEB4-42A5-97A1-EAA80E440D88}</b:Guid>
    <b:Author>
      <b:Author>
        <b:NameList>
          <b:Person>
            <b:Last>Hoffmeier</b:Last>
            <b:First>Gordon</b:First>
            <b:Middle>Wenham, Kenton Sparks</b:Middle>
          </b:Person>
        </b:NameList>
      </b:Author>
    </b:Author>
    <b:Title>Genesis: History, Fiction, or Neither. Three views on the Bible's earliest chapters</b:Title>
    <b:Year>2015</b:Year>
    <b:Publisher>Zondervan Academic</b:Publisher>
    <b:RefOrder>67</b:RefOrder>
  </b:Source>
  <b:Source>
    <b:Tag>JCa</b:Tag>
    <b:SourceType>JournalArticle</b:SourceType>
    <b:Guid>{05A31CF5-4AFE-40DE-A9C5-D3E43264F51F}</b:Guid>
    <b:Author>
      <b:Author>
        <b:NameList>
          <b:Person>
            <b:Last>Laney</b:Last>
            <b:First>J.</b:First>
            <b:Middle>Carl</b:Middle>
          </b:Person>
        </b:NameList>
      </b:Author>
    </b:Author>
    <b:Title>The story of the Bible: The major Prophets</b:Title>
    <b:Year>2016</b:Year>
    <b:JournalName>Transformed The living gospel in an every day world</b:JournalName>
    <b:RefOrder>68</b:RefOrder>
  </b:Source>
  <b:Source>
    <b:Tag>Abd</b:Tag>
    <b:SourceType>Book</b:SourceType>
    <b:Guid>{AFC9B61B-59A8-4F23-BBA4-C0A25CE5F18D}</b:Guid>
    <b:Author>
      <b:Author>
        <b:NameList>
          <b:Person>
            <b:Last>Ljamai</b:Last>
            <b:First>Abdelilah</b:First>
          </b:Person>
        </b:NameList>
      </b:Author>
    </b:Author>
    <b:Title>Sacrifice and Islamic Identity</b:Title>
    <b:Year>2020</b:Year>
    <b:Publisher>Brill</b:Publisher>
    <b:RefOrder>69</b:RefOrder>
  </b:Source>
  <b:Source>
    <b:Tag>VPL</b:Tag>
    <b:SourceType>JournalArticle</b:SourceType>
    <b:Guid>{DCB6B998-7981-4EBB-8050-FB638E13A51C}</b:Guid>
    <b:Author>
      <b:Author>
        <b:NameList>
          <b:Person>
            <b:Last>Long</b:Last>
            <b:First>V.</b:First>
            <b:Middle>P.</b:Middle>
          </b:Person>
        </b:NameList>
      </b:Author>
    </b:Author>
    <b:Title>An Old Testament History: A Hermeneutical Perspective</b:Title>
    <b:Year>1999</b:Year>
    <b:JournalName>A guide to Old Testament theology and exegesis</b:JournalName>
    <b:Pages>83-99</b:Pages>
    <b:RefOrder>70</b:RefOrder>
  </b:Source>
  <b:Source>
    <b:Tag>Mal83</b:Tag>
    <b:SourceType>ArticleInAPeriodical</b:SourceType>
    <b:Guid>{534C5EBF-3A88-4890-B53B-CA2668D3F362}</b:Guid>
    <b:Author>
      <b:Author>
        <b:NameList>
          <b:Person>
            <b:Last>Martin</b:Last>
            <b:First>Malachi</b:First>
          </b:Person>
        </b:NameList>
      </b:Author>
    </b:Author>
    <b:Title>Footsteps of Abraham</b:Title>
    <b:Year>1983</b:Year>
    <b:PeriodicalTitle>The New York Times</b:PeriodicalTitle>
    <b:Month>March</b:Month>
    <b:Day>13</b:Day>
    <b:RefOrder>71</b:RefOrder>
  </b:Source>
  <b:Source>
    <b:Tag>Gra</b:Tag>
    <b:SourceType>JournalArticle</b:SourceType>
    <b:Guid>{0C2D8FF3-1252-424E-88E1-998237EC17FA}</b:Guid>
    <b:Author>
      <b:Author>
        <b:NameList>
          <b:Person>
            <b:Last>Osborne</b:Last>
            <b:First>Grant</b:First>
            <b:Middle>R.</b:Middle>
          </b:Person>
        </b:NameList>
      </b:Author>
    </b:Author>
    <b:Title>Historical narrative and truth in the Bible</b:Title>
    <b:Year>2006</b:Year>
    <b:Pages>673-688</b:Pages>
    <b:JournalName>Journal of the evangelical theological society</b:JournalName>
    <b:RefOrder>72</b:RefOrder>
  </b:Source>
  <b:Source>
    <b:Tag>Moh</b:Tag>
    <b:SourceType>ArticleInAPeriodical</b:SourceType>
    <b:Guid>{CFDCA054-ED46-4FFA-8DAD-D4C8B59DAB3C}</b:Guid>
    <b:Author>
      <b:Author>
        <b:NameList>
          <b:Person>
            <b:Last>Pasha</b:Last>
            <b:First>Mohammad</b:First>
            <b:Middle>Nizamuddin</b:Middle>
          </b:Person>
        </b:NameList>
      </b:Author>
    </b:Author>
    <b:Title>Debate: Why Animal Sacrifice on Eid-ul-Zuha is an Indispensable Part of Islam</b:Title>
    <b:PeriodicalTitle>The Wire</b:PeriodicalTitle>
    <b:Year>2020</b:Year>
    <b:Month>August</b:Month>
    <b:Day>10</b:Day>
    <b:RefOrder>73</b:RefOrder>
  </b:Source>
  <b:Source>
    <b:Tag>FEP</b:Tag>
    <b:SourceType>Book</b:SourceType>
    <b:Guid>{7F7FFA94-6155-415C-B5CD-96E73D79ADD6}</b:Guid>
    <b:Author>
      <b:Author>
        <b:NameList>
          <b:Person>
            <b:Last>Peters</b:Last>
            <b:First>F.</b:First>
            <b:Middle>E.</b:Middle>
          </b:Person>
        </b:NameList>
      </b:Author>
    </b:Author>
    <b:Title>Children of Abraham: Judaism, Christianity, Islam</b:Title>
    <b:Publisher>Cambridge University Press</b:Publisher>
    <b:Year>2016</b:Year>
    <b:RefOrder>74</b:RefOrder>
  </b:Source>
  <b:Source>
    <b:Tag>Alb</b:Tag>
    <b:SourceType>Book</b:SourceType>
    <b:Guid>{E639EF2C-AA77-4E88-8C1E-838DA9076778}</b:Guid>
    <b:Author>
      <b:Author>
        <b:NameList>
          <b:Person>
            <b:Last>Pury</b:Last>
            <b:First>Albert</b:First>
            <b:Middle>de</b:Middle>
          </b:Person>
        </b:NameList>
      </b:Author>
    </b:Author>
    <b:Title>Abraham, what kind of an ancestor is he? A new look at Biblical traditions</b:Title>
    <b:City>Switzerland</b:City>
    <b:Publisher>University of Geneva</b:Publisher>
    <b:Year>2005</b:Year>
    <b:RefOrder>75</b:RefOrder>
  </b:Source>
  <b:Source>
    <b:Tag>Rei</b:Tag>
    <b:SourceType>Book</b:SourceType>
    <b:Guid>{6563F2C3-F64B-4B31-9245-A9AD1B03FF53}</b:Guid>
    <b:Title>Reimagining Hagar: Blackness and Bible. Biblical Refigurations</b:Title>
    <b:City>Oxford, New York</b:City>
    <b:Publisher>Oxford University Press</b:Publisher>
    <b:Author>
      <b:Author>
        <b:NameList>
          <b:Person>
            <b:Last>Junior</b:Last>
            <b:First>Nyasha</b:First>
          </b:Person>
        </b:NameList>
      </b:Author>
    </b:Author>
    <b:Year>2019</b:Year>
    <b:RefOrder>76</b:RefOrder>
  </b:Source>
  <b:Source>
    <b:Tag>Gab18</b:Tag>
    <b:SourceType>Book</b:SourceType>
    <b:Guid>{41C8B04D-C335-4E5A-B039-C02C9CC884F3}</b:Guid>
    <b:Author>
      <b:Author>
        <b:NameList>
          <b:Person>
            <b:Last>Reynolds</b:Last>
            <b:First>Gabriel</b:First>
            <b:Middle>Said</b:Middle>
          </b:Person>
        </b:NameList>
      </b:Author>
    </b:Author>
    <b:Title>The Qur’ān and the Bible: Text and Commentary</b:Title>
    <b:Year>2018</b:Year>
    <b:Publisher>Yale University Press</b:Publisher>
    <b:RefOrder>77</b:RefOrder>
  </b:Source>
  <b:Source>
    <b:Tag>Tho</b:Tag>
    <b:SourceType>Book</b:SourceType>
    <b:Guid>{3A278871-8A19-451E-8680-BAB670C7EB76}</b:Guid>
    <b:Author>
      <b:Author>
        <b:NameList>
          <b:Person>
            <b:Last>Schirrmacher</b:Last>
            <b:First>Thomas</b:First>
          </b:Person>
        </b:NameList>
      </b:Author>
    </b:Author>
    <b:Title>The Koran and the Bible</b:Title>
    <b:Year>2013</b:Year>
    <b:Publisher>Verlag für Kultur und Wissenschaft (Culture and Science)</b:Publisher>
    <b:RefOrder>78</b:RefOrder>
  </b:Source>
  <b:Source>
    <b:Tag>Nat</b:Tag>
    <b:SourceType>InternetSite</b:SourceType>
    <b:Guid>{0C306E7E-EC82-41EE-AC07-1124D8E227A4}</b:Guid>
    <b:Author>
      <b:Author>
        <b:NameList>
          <b:Person>
            <b:Last>Schumar</b:Last>
            <b:First>Nathan</b:First>
          </b:Person>
        </b:NameList>
      </b:Author>
    </b:Author>
    <b:Title>Columbia College</b:Title>
    <b:URL>https://www.college.columbia.edu/core/node/1756</b:URL>
    <b:RefOrder>79</b:RefOrder>
  </b:Source>
  <b:Source>
    <b:Tag>Wri</b:Tag>
    <b:SourceType>Book</b:SourceType>
    <b:Guid>{89F28AD9-193F-40CC-A618-B26F38B7AAD8}</b:Guid>
    <b:Author>
      <b:Author>
        <b:NameList>
          <b:Person>
            <b:Last>Wright</b:Last>
            <b:First>Christopher</b:First>
            <b:Middle>J. H.</b:Middle>
          </b:Person>
        </b:NameList>
      </b:Author>
    </b:Author>
    <b:Title>The Mission of God's People: A Biblical Theology of the Church's Mission</b:Title>
    <b:Year>2010</b:Year>
    <b:Publisher> Zondervan Academic</b:Publisher>
    <b:RefOrder>80</b:RefOrder>
  </b:Source>
  <b:Source>
    <b:Tag>Phi1</b:Tag>
    <b:SourceType>Book</b:SourceType>
    <b:Guid>{65BBAB70-FA94-48F7-BA38-15033AFF1E8D}</b:Guid>
    <b:Title>Hagar the Egyptian: Wife, Handmaid, and Concubine</b:Title>
    <b:Author>
      <b:Author>
        <b:NameList>
          <b:Person>
            <b:Last>Yoo</b:Last>
            <b:First>Philip.</b:First>
            <b:Middle>Y</b:Middle>
          </b:Person>
        </b:NameList>
      </b:Author>
    </b:Author>
    <b:Publisher>University of Toronto</b:Publisher>
    <b:Year>2016</b:Year>
    <b:RefOrder>81</b:RefOrder>
  </b:Source>
  <b:Source>
    <b:Tag>Mut21</b:Tag>
    <b:SourceType>Misc</b:SourceType>
    <b:Guid>{B26CFC00-ABEF-47B5-B152-219F5F5A1C3B}</b:Guid>
    <b:Title>The Sacrifice of “Eid al-Adha"</b:Title>
    <b:Year>2021</b:Year>
    <b:Author>
      <b:Author>
        <b:NameList>
          <b:Person>
            <b:Last>Muttaqi</b:Last>
            <b:First>Shahid</b:First>
            <b:Middle>‘Ali</b:Middle>
          </b:Person>
        </b:NameList>
      </b:Author>
    </b:Author>
    <b:PeriodicalTitle>Animals in Islam</b:PeriodicalTitle>
    <b:RefOrder>82</b:RefOrder>
  </b:Source>
  <b:Source>
    <b:Tag>Cap97</b:Tag>
    <b:SourceType>Book</b:SourceType>
    <b:Guid>{707C8E46-D97D-43B1-861F-3024BD811C2E}</b:Guid>
    <b:Title>The Prayers and Tears of Jacques Derrida</b:Title>
    <b:Year>1997</b:Year>
    <b:Publisher>Indiana University Press</b:Publisher>
    <b:Author>
      <b:Author>
        <b:NameList>
          <b:Person>
            <b:Last>Caputo</b:Last>
            <b:First>John</b:First>
            <b:Middle>D</b:Middle>
          </b:Person>
        </b:NameList>
      </b:Author>
    </b:Author>
    <b:RefOrder>83</b:RefOrder>
  </b:Source>
  <b:Source>
    <b:Tag>Jon121</b:Tag>
    <b:SourceType>Book</b:SourceType>
    <b:Guid>{F4C2BB80-08CC-4970-9906-EEF23AF8925E}</b:Guid>
    <b:Author>
      <b:Author>
        <b:NameList>
          <b:Person>
            <b:Last>Levenson</b:Last>
            <b:First>Jon</b:First>
            <b:Middle>D.</b:Middle>
          </b:Person>
        </b:NameList>
      </b:Author>
    </b:Author>
    <b:Title> Inheriting Abraham: The Legacy of the Patriarch in Judaism, Christianity, and Islam</b:Title>
    <b:Year>2012</b:Year>
    <b:Publisher>Princeton University Press</b:Publisher>
    <b:RefOrder>84</b:RefOrder>
  </b:Source>
  <b:Source>
    <b:Tag>Abu95</b:Tag>
    <b:SourceType>Book</b:SourceType>
    <b:Guid>{C70A2939-09BD-4C23-8407-7641AB0F4CB5}</b:Guid>
    <b:Author>
      <b:Author>
        <b:NameList>
          <b:Person>
            <b:Last>Zamakhshari</b:Last>
            <b:First>Abuʾl-Qasim</b:First>
            <b:Middle>al</b:Middle>
          </b:Person>
        </b:NameList>
      </b:Author>
    </b:Author>
    <b:Title>Al-Kashshaf ʿan haqa ʾiq ghawamid al-tanzil wa-ʿuyun al-aqawil fi-wudjuh al-ta ʾwil.</b:Title>
    <b:Year>1995</b:Year>
    <b:City> Beirut</b:City>
    <b:Publisher>Dar al-kutub al-ʿilmiyya, </b:Publisher>
    <b:RefOrder>85</b:RefOrder>
  </b:Source>
  <b:Source>
    <b:Tag>MPo13</b:Tag>
    <b:SourceType>Book</b:SourceType>
    <b:Guid>{34445DD6-1767-4D91-9AA0-3A12DC17378B}</b:Guid>
    <b:Author>
      <b:Author>
        <b:NameList>
          <b:Person>
            <b:Last>M. Poorthuis</b:Last>
          </b:Person>
        </b:NameList>
      </b:Author>
    </b:Author>
    <b:Title>Hagar’s Wanderings: between Judaism and Islam</b:Title>
    <b:Year> 2013</b:Year>
    <b:Publisher>Der Islam</b:Publisher>
    <b:RefOrder>86</b:RefOrder>
  </b:Source>
  <b:Source>
    <b:Tag>Ibn98</b:Tag>
    <b:SourceType>Book</b:SourceType>
    <b:Guid>{ACEA7A8B-BB53-407F-941A-25B643922863}</b:Guid>
    <b:Author>
      <b:Author>
        <b:NameList>
          <b:Person>
            <b:Last>Kathir</b:Last>
            <b:First>Ibn</b:First>
            <b:Middle>al</b:Middle>
          </b:Person>
        </b:NameList>
      </b:Author>
    </b:Author>
    <b:Title>Qisas al-anbiya ʾ</b:Title>
    <b:Year>1998</b:Year>
    <b:City>Riyadh</b:City>
    <b:Publisher> Dar Ibn Khuzayma</b:Publisher>
    <b:RefOrder>87</b:RefOrder>
  </b:Source>
  <b:Source>
    <b:Tag>MAa01</b:Tag>
    <b:SourceType>Book</b:SourceType>
    <b:Guid>{BD46A546-62A1-4F3C-B6F2-A5FF7B789C56}</b:Guid>
    <b:Author>
      <b:Author>
        <b:NameList>
          <b:Person>
            <b:Last>al-Albani</b:Last>
            <b:First>M.A.</b:First>
          </b:Person>
        </b:NameList>
      </b:Author>
    </b:Author>
    <b:Title>Silsilat al-ahadith al-daʿifa wa-ʾl-mawduʿa wa-atharuha al-sayyiʾ fi-alumma</b:Title>
    <b:Year>2001</b:Year>
    <b:City>Riyadh</b:City>
    <b:Publisher>Maktabat al-Maʿarif</b:Publisher>
    <b:RefOrder>88</b:RefOrder>
  </b:Source>
  <b:Source>
    <b:Tag>Emb99</b:Tag>
    <b:SourceType>Book</b:SourceType>
    <b:Guid>{3FECDAB8-1BFB-4E6E-8797-8E155DED3D3B}</b:Guid>
    <b:Author>
      <b:Author>
        <b:NameList>
          <b:Person>
            <b:Last>Lodahl</b:Last>
            <b:First>Michael</b:First>
          </b:Person>
        </b:NameList>
      </b:Author>
    </b:Author>
    <b:Year>1999</b:Year>
    <b:Publisher>InterVarsity Press</b:Publisher>
    <b:Title>Growth, Embodied Holiness: A Corporate Theology of Spiritual</b:Title>
    <b:RefOrder>89</b:RefOrder>
  </b:Source>
  <b:Source>
    <b:Tag>Mic10</b:Tag>
    <b:SourceType>Book</b:SourceType>
    <b:Guid>{3220DFDE-DCF5-4EBF-B31F-1C540B9F9CE5}</b:Guid>
    <b:Author>
      <b:Author>
        <b:NameList>
          <b:Person>
            <b:Last>Lodahl</b:Last>
            <b:First>Michael</b:First>
          </b:Person>
        </b:NameList>
      </b:Author>
    </b:Author>
    <b:Title>Claiming Abraham: Reading the Bible and the Qur’ān Side by Side </b:Title>
    <b:Year>2010</b:Year>
    <b:Publisher>Brazos Press</b:Publisher>
    <b:RefOrder>90</b:RefOrder>
  </b:Source>
  <b:Source>
    <b:Tag>Ang09</b:Tag>
    <b:SourceType>Book</b:SourceType>
    <b:Guid>{940782F2-1E88-4FF1-BB48-C5A5529504EB}</b:Guid>
    <b:Author>
      <b:Author>
        <b:NameList>
          <b:Person>
            <b:Last>Angelika NEUWIRTH</b:Last>
            <b:First>Nicolai</b:First>
            <b:Middle>SINAI &amp; Michael MARX</b:Middle>
          </b:Person>
        </b:NameList>
      </b:Author>
    </b:Author>
    <b:Title>The Qur’an in Context, Historical and Literary Investigations into the Quranic Milieu</b:Title>
    <b:Year>2009</b:Year>
    <b:RefOrder>91</b:RefOrder>
  </b:Source>
  <b:Source>
    <b:Tag>GRO</b:Tag>
    <b:SourceType>Misc</b:SourceType>
    <b:Guid>{1677B536-C1EB-4FBD-9EEC-538859C8FBE1}</b:Guid>
    <b:Author>
      <b:Author>
        <b:NameList>
          <b:Person>
            <b:Last>Osborne</b:Last>
            <b:First>G</b:First>
            <b:Middle>R</b:Middle>
          </b:Person>
        </b:NameList>
      </b:Author>
    </b:Author>
    <b:Title>History and Theology in the Synoptic Gospels</b:Title>
    <b:Year>2003</b:Year>
    <b:PeriodicalTitle>SCRIBD</b:PeriodicalTitle>
    <b:Pages>18</b:Pages>
    <b:PublicationTitle>SCRIBD</b:PublicationTitle>
    <b:RefOrder>92</b:RefOrder>
  </b:Source>
  <b:Source>
    <b:Tag>Khw</b:Tag>
    <b:SourceType>InternetSite</b:SourceType>
    <b:Guid>{23C0A89F-6528-47E5-8382-335444484D11}</b:Guid>
    <b:Author>
      <b:Author>
        <b:NameList>
          <b:Person>
            <b:Last>Noor</b:Last>
            <b:First>Khwaja</b:First>
            <b:Middle>Saadat</b:Middle>
          </b:Person>
        </b:NameList>
      </b:Author>
    </b:Author>
    <b:Title>Is Animal Sacrifice on Eid al-Adha Still Relevant?</b:Title>
    <b:Year>2020</b:Year>
    <b:PeriodicalTitle>Fair Observer</b:PeriodicalTitle>
    <b:Month>July</b:Month>
    <b:Day>31</b:Day>
    <b:URL>https://www.fairobserver.com/culture/khwaja-saadat-noor-eid-al-adha-udhiya-qurbani-animal-sacrifice-islam-muslims-religion-news-67183/</b:URL>
    <b:RefOrder>93</b:RefOrder>
  </b:Source>
  <b:Source>
    <b:Tag>SEM</b:Tag>
    <b:SourceType>Misc</b:SourceType>
    <b:Guid>{6BD3A077-E492-40BB-9248-0A4CB4F7228A}</b:Guid>
    <b:Author>
      <b:Author>
        <b:NameList>
          <b:Person>
            <b:Last>McEvenue</b:Last>
            <b:First>S.</b:First>
            <b:Middle>E.</b:Middle>
          </b:Person>
        </b:NameList>
      </b:Author>
    </b:Author>
    <b:Title>A Comparison of Narrative Styles in the Hagar Stories</b:Title>
    <b:RefOrder>94</b:RefOrder>
  </b:Source>
  <b:Source>
    <b:Tag>Hua20</b:Tag>
    <b:SourceType>InternetSite</b:SourceType>
    <b:Guid>{807A9C9A-96F4-4D96-BF18-30AFA76FF9E6}</b:Guid>
    <b:Author>
      <b:Author>
        <b:NameList>
          <b:Person>
            <b:Last>Huafei</b:Last>
          </b:Person>
        </b:NameList>
      </b:Author>
    </b:Author>
    <b:Title>What Is True Faith? How to Have True Faith in God</b:Title>
    <b:Year>2020</b:Year>
    <b:PeriodicalTitle>Follow God</b:PeriodicalTitle>
    <b:Month>August</b:Month>
    <b:Day>17</b:Day>
    <b:URL>https://follow-god-s-footsteps.medium.com/how-to-have-true-faith-in-god-a4f2a67b4618</b:URL>
    <b:RefOrder>95</b:RefOrder>
  </b:Source>
  <b:Source>
    <b:Tag>KKr</b:Tag>
    <b:SourceType>InternetSite</b:SourceType>
    <b:Guid>{F46E4F77-487D-4884-96DD-1AB8CF21431C}</b:Guid>
    <b:Author>
      <b:Author>
        <b:NameList>
          <b:Person>
            <b:Last>Hirst</b:Last>
            <b:First>K.</b:First>
            <b:Middle>Kris</b:Middle>
          </b:Person>
        </b:NameList>
      </b:Author>
    </b:Author>
    <b:Title>What is history: A collection of definitions</b:Title>
    <b:Year>2019</b:Year>
    <b:PeriodicalTitle>ThoughCo</b:PeriodicalTitle>
    <b:Month>October</b:Month>
    <b:Day>01</b:Day>
    <b:URL>https://www.thoughtco.com/what-is-history-collection-of-definitions-171282#:~:text=History%20is%20the%20study%20of%20the%20human%20past,immutable%20bedrock%20on%20which%20historians%20and%20archaeologists%20stand.</b:URL>
    <b:RefOrder>96</b:RefOrder>
  </b:Source>
  <b:Source>
    <b:Tag>TBD98</b:Tag>
    <b:SourceType>JournalArticle</b:SourceType>
    <b:Guid>{DEC2C31E-E974-43AB-946C-F9FE6C3554A1}</b:Guid>
    <b:Author>
      <b:Author>
        <b:NameList>
          <b:Person>
            <b:Last>Dozeman</b:Last>
            <b:First>T.</b:First>
            <b:Middle>B.</b:Middle>
          </b:Person>
        </b:NameList>
      </b:Author>
    </b:Author>
    <b:Title>The Wilderness and Salvation History in the Hagar Story</b:Title>
    <b:Year>1998</b:Year>
    <b:Pages>21</b:Pages>
    <b:JournalName>Journal of Biblical Literature</b:JournalName>
    <b:RefOrder>97</b:RefOrder>
  </b:Source>
  <b:Source>
    <b:Tag>Jas15</b:Tag>
    <b:SourceType>Book</b:SourceType>
    <b:Guid>{EDB1DBCC-5891-449E-A4EE-762DFC2F7263}</b:Guid>
    <b:Author>
      <b:Author>
        <b:NameList>
          <b:Person>
            <b:Last>Derouchie</b:Last>
            <b:First>Jason</b:First>
            <b:Middle>S.</b:Middle>
          </b:Person>
        </b:NameList>
      </b:Author>
    </b:Author>
    <b:Title>Genesis: History, Fiction, or Neither?: Three Views on the Bible’s Earliest Chapters</b:Title>
    <b:Year>2015</b:Year>
    <b:Publisher>Zondervan Academic</b:Publisher>
    <b:RefOrder>98</b:RefOrder>
  </b:Source>
  <b:Source>
    <b:Tag>Emi15</b:Tag>
    <b:SourceType>InternetSite</b:SourceType>
    <b:Guid>{FE79D47C-A334-403B-83E5-72F549057835}</b:Guid>
    <b:Title>17 surprising similarities between Muslims and Christians</b:Title>
    <b:Year>2015</b:Year>
    <b:Author>
      <b:Author>
        <b:NameList>
          <b:Person>
            <b:Last>Christensen</b:Last>
            <b:First>Emily</b:First>
          </b:Person>
        </b:NameList>
      </b:Author>
    </b:Author>
    <b:URL>https://www.familytoday.com/family/17-surprising-similarities-between-muslims-and-christians/</b:URL>
    <b:RefOrder>99</b:RefOrder>
  </b:Source>
  <b:Source>
    <b:Tag>Sid13</b:Tag>
    <b:SourceType>InternetSite</b:SourceType>
    <b:Guid>{1D0A7964-CC96-4A1E-B77C-5CBD114D570B}</b:Guid>
    <b:Title>Ibrahim: the Muslim view of Abraham</b:Title>
    <b:Year>2013</b:Year>
    <b:Author>
      <b:Author>
        <b:NameList>
          <b:Person>
            <b:Last>Siddiqi</b:Last>
            <b:First>Mona</b:First>
          </b:Person>
        </b:NameList>
      </b:Author>
    </b:Author>
    <b:PeriodicalTitle>BBC</b:PeriodicalTitle>
    <b:Month>February</b:Month>
    <b:Day>03</b:Day>
    <b:URL>https://www.bbc.co.uk/religion/religions/islam/history/ibrahim.shtml</b:URL>
    <b:RefOrder>100</b:RefOrder>
  </b:Source>
  <b:Source>
    <b:Tag>DrS</b:Tag>
    <b:SourceType>Misc</b:SourceType>
    <b:Guid>{2BFD6EE5-CFFE-4340-ADB6-6E311B34B13A}</b:Guid>
    <b:Author>
      <b:Author>
        <b:NameList>
          <b:Person>
            <b:Last>Dr. Steven Ball</b:Last>
          </b:Person>
        </b:NameList>
      </b:Author>
    </b:Author>
    <b:Title>Recent Scholarly Perspectives on Genesis</b:Title>
    <b:RefOrder>101</b:RefOrder>
  </b:Source>
  <b:Source>
    <b:Tag>Gal18</b:Tag>
    <b:SourceType>Book</b:SourceType>
    <b:Guid>{4F0717D0-F18A-490C-805F-FDDFB773A075}</b:Guid>
    <b:Author>
      <b:Author>
        <b:NameList>
          <b:Person>
            <b:Last>Galadiri</b:Last>
            <b:First>Abdullah</b:First>
          </b:Person>
        </b:NameList>
      </b:Author>
    </b:Author>
    <b:Title>Qur'anic hermaneutics betwwen science, history and the Bible</b:Title>
    <b:Year>2018</b:Year>
    <b:Publisher>Bloomsbury Academic</b:Publisher>
    <b:RefOrder>102</b:RefOrder>
  </b:Source>
  <b:Source>
    <b:Tag>San01</b:Tag>
    <b:SourceType>Book</b:SourceType>
    <b:Guid>{3BF14BE7-22C0-4BA0-A7DD-8D1F5C81D2D3}</b:Guid>
    <b:Author>
      <b:Author>
        <b:NameList>
          <b:Person>
            <b:Last>Khan</b:Last>
            <b:First>Saniyasnain</b:First>
          </b:Person>
        </b:NameList>
      </b:Author>
    </b:Author>
    <b:Title>The Travels of the Prophet Ibrahim</b:Title>
    <b:Year>2001</b:Year>
    <b:Publisher>Goodword Books</b:Publisher>
    <b:RefOrder>103</b:RefOrder>
  </b:Source>
  <b:Source>
    <b:Tag>Dav17</b:Tag>
    <b:SourceType>Book</b:SourceType>
    <b:Guid>{0E1EE33B-C295-4A93-A9F9-2C393E1803C3}</b:Guid>
    <b:Author>
      <b:Author>
        <b:NameList>
          <b:Person>
            <b:Last>Weddle</b:Last>
            <b:First>David</b:First>
            <b:Middle>L.</b:Middle>
          </b:Person>
        </b:NameList>
      </b:Author>
    </b:Author>
    <b:Title>Sacrifice in Judaism, Christianity, and Islam</b:Title>
    <b:Year>2017</b:Year>
    <b:Publisher>NYU Press</b:Publisher>
    <b:RefOrder>104</b:RefOrder>
  </b:Source>
  <b:Source>
    <b:Tag>Joh99</b:Tag>
    <b:SourceType>Book</b:SourceType>
    <b:Guid>{810FFDB4-5985-46C8-98D1-2F74BBA6F8B3}</b:Guid>
    <b:Author>
      <b:Author>
        <b:NameList>
          <b:Person>
            <b:Last>Kaltner</b:Last>
            <b:First>John</b:First>
          </b:Person>
        </b:NameList>
      </b:Author>
    </b:Author>
    <b:Title>Ishmael Instructs Isaac: An Introduction to the Qurʼan for Bible Readers</b:Title>
    <b:Year>1999</b:Year>
    <b:Publisher>Liturgical Press</b:Publisher>
    <b:RefOrder>105</b:RefOrder>
  </b:Source>
  <b:Source>
    <b:Tag>Edw02</b:Tag>
    <b:SourceType>Book</b:SourceType>
    <b:Guid>{94D90F04-F940-4892-98DC-3FC8E4E4270C}</b:Guid>
    <b:Author>
      <b:Author>
        <b:NameList>
          <b:Person>
            <b:Last>Edward Noort</b:Last>
            <b:First>Eibert</b:First>
            <b:Middle>J. C. Tigchelaar, Tigchelaar</b:Middle>
          </b:Person>
        </b:NameList>
      </b:Author>
    </b:Author>
    <b:Title>The Sacrifice of Isaac The Aqedah (Genesis 22) and Its Interpretations</b:Title>
    <b:Year>2002</b:Year>
    <b:Publisher>Brill</b:Publisher>
    <b:RefOrder>106</b:RefOrder>
  </b:Source>
  <b:Source>
    <b:Tag>Fat16</b:Tag>
    <b:SourceType>Book</b:SourceType>
    <b:Guid>{CADFE7D2-3BC8-417B-88BE-050C14F9ED66}</b:Guid>
    <b:Author>
      <b:Author>
        <b:NameList>
          <b:Person>
            <b:Last>Khanjar</b:Last>
            <b:First>Fatma</b:First>
          </b:Person>
        </b:NameList>
      </b:Author>
    </b:Author>
    <b:Title>Prophet Abraham. A Comparative Analysis of the Sacrifice Story in the Qu'ran and the Bible</b:Title>
    <b:Year>2016</b:Year>
    <b:Publisher>GRIN Verlag</b:Publisher>
    <b:RefOrder>107</b:RefOrder>
  </b:Source>
  <b:Source>
    <b:Tag>Joh18</b:Tag>
    <b:SourceType>Book</b:SourceType>
    <b:Guid>{CD829DE7-EC73-42BA-84BF-DFD3F1DC738F}</b:Guid>
    <b:Author>
      <b:Author>
        <b:NameList>
          <b:Person>
            <b:Last>John Kaltner</b:Last>
            <b:First>Younus</b:First>
            <b:Middle>Mirza</b:Middle>
          </b:Person>
        </b:NameList>
      </b:Author>
    </b:Author>
    <b:Title>The Bible and the Qur'an: Biblical Figures in the Islamic Tradition</b:Title>
    <b:Year>2018</b:Year>
    <b:Publisher>Bloomsbury Publishing</b:Publisher>
    <b:RefOrder>108</b:RefOrder>
  </b:Source>
  <b:Source>
    <b:Tag>Ani07</b:Tag>
    <b:SourceType>Book</b:SourceType>
    <b:Guid>{CA3FAD11-8AE8-4161-BF72-03FD16ECAF1A}</b:Guid>
    <b:Author>
      <b:Author>
        <b:NameList>
          <b:Person>
            <b:Last>Sallihudin</b:Last>
            <b:First>Anis</b:First>
          </b:Person>
        </b:NameList>
      </b:Author>
    </b:Author>
    <b:Title>The Sacrifice of Prophet Ishmael</b:Title>
    <b:Year>2007</b:Year>
    <b:Publisher>Pustaka Rubiah</b:Publisher>
    <b:RefOrder>109</b:RefOrder>
  </b:Source>
  <b:Source>
    <b:Tag>Joë15</b:Tag>
    <b:SourceType>Book</b:SourceType>
    <b:Guid>{94B74929-AF76-4998-B642-F11A764078FD}</b:Guid>
    <b:Author>
      <b:Author>
        <b:NameList>
          <b:Person>
            <b:Last>Joël Muller</b:Last>
            <b:First>Roger</b:First>
            <b:Middle>De Klerk</b:Middle>
          </b:Person>
        </b:NameList>
      </b:Author>
    </b:Author>
    <b:Title>Isaac's Sacrifice and Other Stories From the Bible</b:Title>
    <b:Year>2015</b:Year>
    <b:Publisher>Caramel</b:Publisher>
    <b:RefOrder>110</b:RefOrder>
  </b:Source>
  <b:Source>
    <b:Tag>Lar07</b:Tag>
    <b:SourceType>Book</b:SourceType>
    <b:Guid>{5638491A-2739-4269-9B66-9E7DD3E99FC0}</b:Guid>
    <b:Author>
      <b:Author>
        <b:NameList>
          <b:Person>
            <b:Last>Larry Powell</b:Last>
            <b:First>William</b:First>
            <b:Middle>R. Self</b:Middle>
          </b:Person>
        </b:NameList>
      </b:Author>
    </b:Author>
    <b:Title>Holy Murder: Abraham, Isaac, and the Rhetoric of Sacrifice</b:Title>
    <b:Year>2007</b:Year>
    <b:Publisher>University Press of America</b:Publisher>
    <b:RefOrder>111</b:RefOrder>
  </b:Source>
  <b:Source>
    <b:Tag>Cha14</b:Tag>
    <b:SourceType>Book</b:SourceType>
    <b:Guid>{9C13969B-4460-44B7-9A93-F6F73747FE78}</b:Guid>
    <b:Author>
      <b:Author>
        <b:NameList>
          <b:Person>
            <b:Last>Swindoll</b:Last>
            <b:First>Charles</b:First>
            <b:Middle>R.</b:Middle>
          </b:Person>
        </b:NameList>
      </b:Author>
    </b:Author>
    <b:Title>Abraham: One Nomad's Amazing Journey of Faith</b:Title>
    <b:Year>2014</b:Year>
    <b:Publisher>Tyndale House Publishers, Incorporated</b:Publisher>
    <b:RefOrder>112</b:RefOrder>
  </b:Source>
  <b:Source>
    <b:Tag>Sta06</b:Tag>
    <b:SourceType>Book</b:SourceType>
    <b:Guid>{A77961F7-A0EE-44DB-BAF3-EF105DAEF202}</b:Guid>
    <b:Author>
      <b:Author>
        <b:NameList>
          <b:Person>
            <b:Last>Porter</b:Last>
            <b:First>Stanley</b:First>
            <b:Middle>E.</b:Middle>
          </b:Person>
        </b:NameList>
      </b:Author>
    </b:Author>
    <b:Title>Hearing the Old Testament in the New Testament</b:Title>
    <b:Year>2006</b:Year>
    <b:Publisher>Eerdmans Publishing Company</b:Publisher>
    <b:RefOrder>113</b:RefOrder>
  </b:Source>
  <b:Source>
    <b:Tag>Ibn15</b:Tag>
    <b:SourceType>Book</b:SourceType>
    <b:Guid>{9193E43C-4F56-43FA-A213-3679C4DC3C39}</b:Guid>
    <b:Author>
      <b:Author>
        <b:NameList>
          <b:Person>
            <b:Last>Kathir</b:Last>
            <b:First>Ibn</b:First>
          </b:Person>
        </b:NameList>
      </b:Author>
    </b:Author>
    <b:Title>Story of Ishmael and Isaac</b:Title>
    <b:Year>2015</b:Year>
    <b:Publisher>CreateSpace Independent Publishing Platform</b:Publisher>
    <b:RefOrder>114</b:RefOrder>
  </b:Source>
  <b:Source>
    <b:Tag>Faz09</b:Tag>
    <b:SourceType>Book</b:SourceType>
    <b:Guid>{35EA058B-82AC-4CA9-B911-2D2DB113F5AE}</b:Guid>
    <b:Author>
      <b:Author>
        <b:NameList>
          <b:Person>
            <b:Last>Fazlur Rahman</b:Last>
            <b:First>Ebrahim</b:First>
            <b:Middle>Moosa</b:Middle>
          </b:Person>
        </b:NameList>
      </b:Author>
    </b:Author>
    <b:Title>Major Themes of the Qur'an</b:Title>
    <b:Year>2009</b:Year>
    <b:Publisher>University of Chicago Press</b:Publisher>
    <b:RefOrder>115</b:RefOrder>
  </b:Source>
  <b:Source>
    <b:Tag>Reu90</b:Tag>
    <b:SourceType>Book</b:SourceType>
    <b:Guid>{C55CEF58-47EC-46D8-B65C-F095D673181D}</b:Guid>
    <b:Author>
      <b:Author>
        <b:NameList>
          <b:Person>
            <b:Last>Firestone</b:Last>
            <b:First>Reuven</b:First>
          </b:Person>
        </b:NameList>
      </b:Author>
    </b:Author>
    <b:Title>Journeys in Holy Lands: The Evolution of the Abraham-Ishmael Legends in Islamic Exegesis</b:Title>
    <b:Year>1990</b:Year>
    <b:Publisher>State University of New York Press</b:Publisher>
    <b:RefOrder>116</b:RefOrder>
  </b:Source>
  <b:Source>
    <b:Tag>Jos15</b:Tag>
    <b:SourceType>Book</b:SourceType>
    <b:Guid>{4DE700E7-6E4F-499C-A779-B9812262202E}</b:Guid>
    <b:Author>
      <b:Author>
        <b:NameList>
          <b:Person>
            <b:Last>Blenkinsopp</b:Last>
            <b:First>Joseph</b:First>
          </b:Person>
        </b:NameList>
      </b:Author>
    </b:Author>
    <b:Title>Abraham: The Story of a Life</b:Title>
    <b:Year>2015</b:Year>
    <b:Publisher>Eerdmans Publishing Company</b:Publisher>
    <b:RefOrder>117</b:RefOrder>
  </b:Source>
  <b:Source>
    <b:Tag>Kai16</b:Tag>
    <b:SourceType>Book</b:SourceType>
    <b:Guid>{3EFF5F65-EB42-4722-8377-317468033A6A}</b:Guid>
    <b:Author>
      <b:Author>
        <b:NameList>
          <b:Person>
            <b:Last>Vermeeren</b:Last>
            <b:First>Kaitlyn</b:First>
          </b:Person>
        </b:NameList>
      </b:Author>
    </b:Author>
    <b:Title>God's Promises to Hagar. An Analysis of Genesis 16</b:Title>
    <b:Year>2016</b:Year>
    <b:Publisher>GRIN Publishing</b:Publisher>
    <b:RefOrder>118</b:RefOrder>
  </b:Source>
  <b:Source>
    <b:Tag>Car14</b:Tag>
    <b:SourceType>Book</b:SourceType>
    <b:Guid>{01CDB802-7CCE-4469-9926-98091D3968E3}</b:Guid>
    <b:Author>
      <b:Author>
        <b:NameList>
          <b:Person>
            <b:Last>Bakhos</b:Last>
            <b:First>Carol</b:First>
          </b:Person>
        </b:NameList>
      </b:Author>
    </b:Author>
    <b:Title>The Family of Abraham: Jewish, Christian, and Muslim Interpretations</b:Title>
    <b:Year>2014</b:Year>
    <b:Publisher>Harvard University Press</b:Publisher>
    <b:RefOrder>119</b:RefOrder>
  </b:Source>
  <b:Source>
    <b:Tag>Sop17</b:Tag>
    <b:SourceType>Book</b:SourceType>
    <b:Guid>{1F930A01-4051-4F9F-B39A-F98AABAE9E4D}</b:Guid>
    <b:Author>
      <b:Author>
        <b:NameList>
          <b:Person>
            <b:Last>Arjana</b:Last>
            <b:First>Sophia</b:First>
            <b:Middle>Rose</b:Middle>
          </b:Person>
        </b:NameList>
      </b:Author>
    </b:Author>
    <b:Title>Pilgrimage in Islam: Traditional and Modern Practices</b:Title>
    <b:Year>2017</b:Year>
    <b:Publisher>Oneworld Publications</b:Publisher>
    <b:RefOrder>120</b:RefOrder>
  </b:Source>
  <b:Source>
    <b:Tag>Ali</b:Tag>
    <b:SourceType>Book</b:SourceType>
    <b:Guid>{130C2B96-4630-4571-A4FD-0744A25841A8}</b:Guid>
    <b:Author>
      <b:Author>
        <b:NameList>
          <b:Person>
            <b:Last>al-Athīr</b:Last>
            <b:First>Ali</b:First>
            <b:Middle>ibn</b:Middle>
          </b:Person>
        </b:NameList>
      </b:Author>
    </b:Author>
    <b:Title>al-Kāmil fi al-Tārīq</b:Title>
    <b:Year>1987</b:Year>
    <b:City>Beirut</b:City>
    <b:Publisher>Dar al-Kuthub al-Ilmiyyah</b:Publisher>
    <b:RefOrder>121</b:RefOrder>
  </b:Source>
  <b:Source>
    <b:Tag>AlT</b:Tag>
    <b:SourceType>Book</b:SourceType>
    <b:Guid>{FA01B8D7-39ED-44E6-B28E-4D668E640B1E}</b:Guid>
    <b:Author>
      <b:Author>
        <b:NameList>
          <b:Person>
            <b:Last>Al-Thabri</b:Last>
          </b:Person>
        </b:NameList>
      </b:Author>
    </b:Author>
    <b:Title>Tāarīq al-Thabri</b:Title>
    <b:Year>1983</b:Year>
    <b:City>Beirut</b:City>
    <b:Publisher>Muassasah al-A'lami li al-Matbuath</b:Publisher>
    <b:RefOrder>122</b:RefOrder>
  </b:Source>
  <b:Source>
    <b:Tag>Jam09</b:Tag>
    <b:SourceType>Book</b:SourceType>
    <b:Guid>{2FF86FF7-4F17-444B-BDE0-A4200CE0DF6C}</b:Guid>
    <b:Title>Jamiʿ al-bayan fi-ta ʾwil al-Qurʾan</b:Title>
    <b:Year>2009</b:Year>
    <b:City>Cairo</b:City>
    <b:Publisher>Dar al-Salam</b:Publisher>
    <b:Author>
      <b:Author>
        <b:NameList>
          <b:Person>
            <b:Last>Al-Tabri</b:Last>
          </b:Person>
        </b:NameList>
      </b:Author>
    </b:Author>
    <b:RefOrder>123</b:RefOrder>
  </b:Source>
  <b:Source>
    <b:Tag>AlH13</b:Tag>
    <b:SourceType>JournalArticle</b:SourceType>
    <b:Guid>{A280B67A-B389-411B-831B-9BC41E11500D}</b:Guid>
    <b:Author>
      <b:Author>
        <b:NameList>
          <b:Person>
            <b:Last>Al-Hasan Al-Aidaros</b:Last>
            <b:First>Faridahwati</b:First>
            <b:Middle>Mohd. Shamsudin and Kamil MD. Idris,</b:Middle>
          </b:Person>
        </b:NameList>
      </b:Author>
    </b:Author>
    <b:Title>Ethics and Ethical Theories from an Islamic Perspective</b:Title>
    <b:Year>2013</b:Year>
    <b:Pages>14</b:Pages>
    <b:JournalName>International Journal of Islamic Thought</b:JournalName>
    <b:RefOrder>124</b:RefOrder>
  </b:Source>
  <b:Source>
    <b:Tag>Ndo13</b:Tag>
    <b:SourceType>JournalArticle</b:SourceType>
    <b:Guid>{B33E494E-1CE8-426B-9F36-3BD595CCA601}</b:Guid>
    <b:Title>Jesus in the Bible and the Qur’ān: a comparative study</b:Title>
    <b:Year>2013</b:Year>
    <b:Author>
      <b:Author>
        <b:NameList>
          <b:Person>
            <b:Last>Alphonse</b:Last>
            <b:First>Ndongo</b:First>
            <b:Middle>Kamdem</b:Middle>
          </b:Person>
        </b:NameList>
      </b:Author>
    </b:Author>
    <b:JournalName>IOSR Journal of Humanities and Social Science(IOSR-JHSS)</b:JournalName>
    <b:Pages>18</b:Pages>
    <b:RefOrder>125</b:RefOrder>
  </b:Source>
  <b:Source>
    <b:Tag>AsS</b:Tag>
    <b:SourceType>Book</b:SourceType>
    <b:Guid>{601C4FF6-75EC-422F-84A7-A650396D9002}</b:Guid>
    <b:Author>
      <b:Author>
        <b:NameList>
          <b:Person>
            <b:Last>As-Swabūni</b:Last>
          </b:Person>
        </b:NameList>
      </b:Author>
    </b:Author>
    <b:Title>al Nubuwwah wa al Anbiya' : Dirasat tafsiliyyatu lihayati Rasuli al Karimi wa Da'watihim, wa Asrarihim fi Taghyiri Mafahim al Basyari, bi Uslubi Yajma'u baina al Diqqati wa al Suhulati, wa al Jaddati wa al Tahqiqi</b:Title>
    <b:Publisher>Makthab al-Gazali</b:Publisher>
    <b:City>Damascus</b:City>
    <b:Year>1985</b:Year>
    <b:RefOrder>126</b:RefOrder>
  </b:Source>
  <b:Source>
    <b:Tag>Say</b:Tag>
    <b:SourceType>Book</b:SourceType>
    <b:Guid>{483947CB-D863-4A86-AED4-725ABE5B7CE2}</b:Guid>
    <b:Author>
      <b:Author>
        <b:NameList>
          <b:Person>
            <b:Last>al-Shanqīti</b:Last>
            <b:First>Sayyid</b:First>
            <b:Middle>Muhammed Sādāti</b:Middle>
          </b:Person>
        </b:NameList>
      </b:Author>
    </b:Author>
    <b:Title>Rakaiz al-I’lām fi Da’wati Ibrāhīm</b:Title>
    <b:Year>1998</b:Year>
    <b:Publisher>Alam al-Kuthub al-Saudiyya</b:Publisher>
    <b:City>Jiddah</b:City>
    <b:RefOrder>127</b:RefOrder>
  </b:Source>
  <b:Source>
    <b:Tag>Say1</b:Tag>
    <b:SourceType>Book</b:SourceType>
    <b:Guid>{8BB4ACF7-2833-418C-92C6-71FE17C79AF3}</b:Guid>
    <b:Author>
      <b:Author>
        <b:NameList>
          <b:Person>
            <b:Last>al-Shanqīti</b:Last>
            <b:First>Sayyid</b:First>
            <b:Middle>Muhammed Sādāti</b:Middle>
          </b:Person>
        </b:NameList>
      </b:Author>
    </b:Author>
    <b:Title>Rakaiz al-I’lām fi Da’wati Ibrāhīm</b:Title>
    <b:Year>1998</b:Year>
    <b:Publisher>Alam al-Kuthub al-Saudiyya</b:Publisher>
    <b:RefOrder>128</b:RefOrder>
  </b:Source>
  <b:Source>
    <b:Tag>Ibn</b:Tag>
    <b:SourceType>Book</b:SourceType>
    <b:Guid>{4FADC5DC-6037-46CA-847E-78067897EF53}</b:Guid>
    <b:Author>
      <b:Author>
        <b:NameList>
          <b:Person>
            <b:Last>Ibn Kathīr</b:Last>
          </b:Person>
        </b:NameList>
      </b:Author>
    </b:Author>
    <b:Title>Al-Bidāya wa an-Nihāya</b:Title>
    <b:Year>2015</b:Year>
    <b:Publisher>Dar Ibn Kathir</b:Publisher>
    <b:RefOrder>129</b:RefOrder>
  </b:Source>
  <b:Source>
    <b:Tag>Muh</b:Tag>
    <b:SourceType>Book</b:SourceType>
    <b:Guid>{720E610F-593B-498D-AAC4-42A6552C921D}</b:Guid>
    <b:Author>
      <b:Author>
        <b:NameList>
          <b:Person>
            <b:Last>Kanās</b:Last>
            <b:First>Muhammed</b:First>
            <b:Middle>Rāji Hassan</b:Middle>
          </b:Person>
        </b:NameList>
      </b:Author>
    </b:Author>
    <b:Title>Azwāj al-Anbiyā’</b:Title>
    <b:Year>2007</b:Year>
    <b:City>Beirut</b:City>
    <b:Publisher>Dār al-Ma‘rifah lil-Ṭibā‘ah wa-al-Nashr wa-al-Tawzī‘</b:Publisher>
    <b:RefOrder>130</b:RefOrder>
  </b:Source>
  <b:Source>
    <b:Tag>Ang03</b:Tag>
    <b:SourceType>JournalArticle</b:SourceType>
    <b:Guid>{859C257E-2316-4AE3-A168-FC5F49ACBF78}</b:Guid>
    <b:Author>
      <b:Author>
        <b:NameList>
          <b:Person>
            <b:Last>Neuwirth</b:Last>
            <b:First>Angelika</b:First>
          </b:Person>
        </b:NameList>
      </b:Author>
    </b:Author>
    <b:Title>Qur'an and History – a Disputed Relationship. Some Reflections on Qur'anic History and History in the Qur'an</b:Title>
    <b:JournalName>Journal of Qur'anic Studies</b:JournalName>
    <b:Year>2003</b:Year>
    <b:Pages>19</b:Pages>
    <b:RefOrder>131</b:RefOrder>
  </b:Source>
  <b:Source>
    <b:Tag>Sho07</b:Tag>
    <b:SourceType>JournalArticle</b:SourceType>
    <b:Guid>{423885B7-301A-4C31-84C4-38791D81EB37}</b:Guid>
    <b:Author>
      <b:Author>
        <b:NameList>
          <b:Person>
            <b:Last>Ben-Ari</b:Last>
            <b:First>Shosh</b:First>
          </b:Person>
        </b:NameList>
      </b:Author>
    </b:Author>
    <b:Title>The stories about Abraham in Islam; A geographical approach</b:Title>
    <b:JournalName>Arabica</b:JournalName>
    <b:Year>2007</b:Year>
    <b:Pages>28</b:Pages>
    <b:RefOrder>132</b:RefOrder>
  </b:Source>
  <b:Source>
    <b:Tag>You13</b:Tag>
    <b:SourceType>JournalArticle</b:SourceType>
    <b:Guid>{D1798AC4-AA26-4B22-AD47-705231AC6509}</b:Guid>
    <b:Author>
      <b:Author>
        <b:NameList>
          <b:Person>
            <b:Last>Mirza</b:Last>
            <b:First>Younus</b:First>
            <b:Middle>Y.</b:Middle>
          </b:Person>
        </b:NameList>
      </b:Author>
    </b:Author>
    <b:Title>Ishmael as Abraham's Sacrifice: Ibn Taymiyya and Ibn Kathīr on the Intended Victim</b:Title>
    <b:JournalName>Islam and Christian–Muslim Relations</b:JournalName>
    <b:Year>2013</b:Year>
    <b:Pages>21</b:Pages>
    <b:RefOrder>133</b:RefOrder>
  </b:Source>
  <b:Source>
    <b:Tag>Ron05</b:Tag>
    <b:SourceType>Book</b:SourceType>
    <b:Guid>{8E72F8B8-723F-48FA-81BE-DD44288F0170}</b:Guid>
    <b:Title>Remembering Abraham: Culture, Memory, and History in the Hebrew Bible</b:Title>
    <b:Year>2005</b:Year>
    <b:Author>
      <b:Author>
        <b:NameList>
          <b:Person>
            <b:Last>Hendel</b:Last>
            <b:First>Ronald</b:First>
          </b:Person>
        </b:NameList>
      </b:Author>
    </b:Author>
    <b:City>USA</b:City>
    <b:Publisher>Oxford University Press</b:Publisher>
    <b:RefOrder>134</b:RefOrder>
  </b:Source>
  <b:Source>
    <b:Tag>Vin11</b:Tag>
    <b:SourceType>Book</b:SourceType>
    <b:Guid>{E8E7142E-535C-4CA8-B3D4-8C58CDCA75AA}</b:Guid>
    <b:Author>
      <b:Author>
        <b:NameList>
          <b:Person>
            <b:Last>Branick</b:Last>
            <b:First>Vincent</b:First>
            <b:Middle>P.</b:Middle>
          </b:Person>
        </b:NameList>
      </b:Author>
    </b:Author>
    <b:Title>Understanding the Historical Books of the Old Testament</b:Title>
    <b:Year>2011</b:Year>
    <b:Publisher>Paulish Press</b:Publisher>
    <b:RefOrder>135</b:RefOrder>
  </b:Source>
  <b:Source>
    <b:Tag>Vin98</b:Tag>
    <b:SourceType>Book</b:SourceType>
    <b:Guid>{17AA4B20-C7B6-42AB-8718-E22816E937D2}</b:Guid>
    <b:Author>
      <b:Author>
        <b:NameList>
          <b:Person>
            <b:Last>Branick</b:Last>
            <b:First>Vincent</b:First>
            <b:Middle>P.</b:Middle>
          </b:Person>
        </b:NameList>
      </b:Author>
    </b:Author>
    <b:Title>Understanding the New Testament and Its Message: An Introduction</b:Title>
    <b:Year>1998</b:Year>
    <b:Publisher>Paulish Press</b:Publisher>
    <b:RefOrder>136</b:RefOrder>
  </b:Source>
  <b:Source>
    <b:Tag>الر81</b:Tag>
    <b:SourceType>Book</b:SourceType>
    <b:Guid>{6ED430E1-6C1E-4E0D-B10D-4598D64D35DC}</b:Guid>
    <b:Author>
      <b:Author>
        <b:NameList>
          <b:Person>
            <b:Last>Al-Rāzī</b:Last>
            <b:First>Fākhr</b:First>
            <b:Middle>al-Dīn</b:Middle>
          </b:Person>
        </b:NameList>
      </b:Author>
    </b:Author>
    <b:Title>Tāfsīr Fākhr al-Rāzī</b:Title>
    <b:Year>1981</b:Year>
    <b:City>Lebanon</b:City>
    <b:Publisher>Dārūl Fīkr</b:Publisher>
    <b:NumberVolumes>32</b:NumberVolumes>
    <b:RefOrder>1</b:RefOrder>
  </b:Source>
  <b:Source>
    <b:Tag>Sha98</b:Tag>
    <b:SourceType>Book</b:SourceType>
    <b:Guid>{4A4ED693-7DBA-4E97-ADEA-C3C992D0A97D}</b:Guid>
    <b:Author>
      <b:Author>
        <b:NameList>
          <b:Person>
            <b:Last>Kafrawi</b:Last>
            <b:First>Shalahudin</b:First>
          </b:Person>
        </b:NameList>
      </b:Author>
    </b:Author>
    <b:Title> Fakhr al-Din al-Razi’s methodology in interpreting the Qur’an</b:Title>
    <b:Year>1998</b:Year>
    <b:Publisher>McGill University</b:Publisher>
    <b:RefOrder>2</b:RefOrder>
  </b:Source>
  <b:Source>
    <b:Tag>Maj18</b:Tag>
    <b:SourceType>Book</b:SourceType>
    <b:Guid>{6897A07E-83B6-4D35-83F1-0B7E365424DF}</b:Guid>
    <b:Author>
      <b:Author>
        <b:NameList>
          <b:Person>
            <b:Last>Daneshgar</b:Last>
            <b:First>Majid</b:First>
          </b:Person>
        </b:NameList>
      </b:Author>
    </b:Author>
    <b:Title>Tantawi Jawhari and the Qur’an: Tafsir and Social concerns in the Twentieth Century</b:Title>
    <b:Year>2018</b:Year>
    <b:City>Milton Park</b:City>
    <b:Publisher>Routledge</b:Publisher>
    <b:RefOrder>17</b:RefOrder>
  </b:Source>
  <b:Source>
    <b:Tag>إسم1م</b:Tag>
    <b:SourceType>JournalArticle</b:SourceType>
    <b:Guid>{A30855EC-D680-4FEE-B5A7-2CDDDEE61247}</b:Guid>
    <b:Author>
      <b:Author>
        <b:NameList>
          <b:Person>
            <b:Last>Al-Mānās</b:Last>
            <b:First>Ismāʿīl</b:First>
            <b:Middle>ʿĀbdūllāh, Sūyūṭī ʿĀbd</b:Middle>
          </b:Person>
        </b:NameList>
      </b:Author>
    </b:Author>
    <b:Title>Mānhājūl Īmām Ṭānṭāwī al-Jāwhārī fī Tāfsīrīhī "Al-Jāwāhīr fī Tāsīrīl Qūr'ānīl Kārīm"</b:Title>
    <b:JournalName>Mājāllātūl Islām fī Āsīā</b:JournalName>
    <b:Year>June 2011</b:Year>
    <b:Pages>33- 52</b:Pages>
    <b:RefOrder>3</b:RefOrder>
  </b:Source>
  <b:Source>
    <b:Tag>الد80</b:Tag>
    <b:SourceType>Book</b:SourceType>
    <b:Guid>{792871FB-7BBF-4D3A-BE37-EE8FF94D975A}</b:Guid>
    <b:Author>
      <b:Author>
        <b:NameList>
          <b:Person>
            <b:Last>Dr.Mūsāʿīd Aālu Jāʿfār</b:Last>
            <b:First>Mūhīyu</b:First>
            <b:Middle>Hīlāl as-Sīrhān</b:Middle>
          </b:Person>
        </b:NameList>
      </b:Author>
    </b:Author>
    <b:Title>Mānāhījūl Mūfāssīrīn</b:Title>
    <b:Year>1980</b:Year>
    <b:City>Lebnon</b:City>
    <b:Publisher>Dārūl Māʿrīfā</b:Publisher>
    <b:Edition>First edition</b:Edition>
    <b:RefOrder>4</b:RefOrder>
  </b:Source>
  <b:Source>
    <b:Tag>Ada16</b:Tag>
    <b:SourceType>Book</b:SourceType>
    <b:Guid>{1D2CB49E-6D4C-4AB2-99E2-1ADD0C200EE8}</b:Guid>
    <b:Title>Philosophy in The Islamic World: A history of philosophy without any gaps</b:Title>
    <b:Year>2016</b:Year>
    <b:Author>
      <b:Author>
        <b:NameList>
          <b:Person>
            <b:Last>Adamson</b:Last>
            <b:First>Peter</b:First>
          </b:Person>
        </b:NameList>
      </b:Author>
    </b:Author>
    <b:City>USA</b:City>
    <b:Publisher>Oxford University Press</b:Publisher>
    <b:Volume>3</b:Volume>
    <b:RefOrder>5</b:RefOrder>
  </b:Source>
  <b:Source>
    <b:Tag>الد76</b:Tag>
    <b:SourceType>Book</b:SourceType>
    <b:Guid>{76403405-C645-4695-ABDA-B07D9B7D6670}</b:Guid>
    <b:Author>
      <b:Author>
        <b:NameList>
          <b:Person>
            <b:Last>Al-Dāhābī</b:Last>
            <b:First>Dr.Mūhāmmēd</b:First>
            <b:Middle>Hūsāīn</b:Middle>
          </b:Person>
        </b:NameList>
      </b:Author>
    </b:Author>
    <b:Title>Al-Tāfsīr wāl Mūfāssīrūn</b:Title>
    <b:Year>1976</b:Year>
    <b:City>Cairo</b:City>
    <b:Publisher>Māktābātū Vāhbāh</b:Publisher>
    <b:Volume>2</b:Volume>
    <b:NumberVolumes>3</b:NumberVolumes>
    <b:RefOrder>6</b:RefOrder>
  </b:Source>
  <b:Source>
    <b:Tag>دمح08</b:Tag>
    <b:SourceType>Book</b:SourceType>
    <b:Guid>{0F1ADA36-93E2-4540-858E-38FC3BC9B787}</b:Guid>
    <b:Author>
      <b:Author>
        <b:NameList>
          <b:Person>
            <b:Last>AL-Īsfāhānī</b:Last>
            <b:Middle> ʿAlī Rāzā'ē</b:Middle>
            <b:First> Dr. Mūhāmmēd</b:First>
          </b:Person>
        </b:NameList>
      </b:Author>
    </b:Author>
    <b:Title>Mānāhījū Tāfsīr wā Īthījāhātūḥū</b:Title>
    <b:Year>2008</b:Year>
    <b:City>Beirut</b:City>
    <b:Publisher>Māktābātū Mūʿmīn Qūrāysh</b:Publisher>
    <b:RefOrder>7</b:RefOrder>
  </b:Source>
  <b:Source>
    <b:Tag>منا</b:Tag>
    <b:SourceType>Book</b:SourceType>
    <b:Guid>{2A09C2F6-0067-4955-B06F-AD22F988AC84}</b:Guid>
    <b:Title>Mābāhīsūn fī ʿŪlūmīl Qūr'ān</b:Title>
    <b:Author>
      <b:Author>
        <b:NameList>
          <b:Person>
            <b:Last>Al-Qāṭan</b:Last>
            <b:First>Mānnāʿ</b:First>
          </b:Person>
        </b:NameList>
      </b:Author>
    </b:Author>
    <b:City>Cairo</b:City>
    <b:Publisher>Māktābātū Vāhbāh</b:Publisher>
    <b:Edition>Seventh edition</b:Edition>
    <b:RefOrder>8</b:RefOrder>
  </b:Source>
  <b:Source>
    <b:Tag>فخر38</b:Tag>
    <b:SourceType>Book</b:SourceType>
    <b:Guid>{FE86F3CE-51C1-4E61-97BE-7E9A9EA79031}</b:Guid>
    <b:Author>
      <b:Author>
        <b:NameList>
          <b:Person>
            <b:Last>Al-Rāzī</b:Last>
            <b:First>Fākhr</b:First>
            <b:Middle>al-Dīn</b:Middle>
          </b:Person>
        </b:NameList>
      </b:Author>
    </b:Author>
    <b:Title>‫Īʿtīqādātū Fīrāqīl Mūslīmīn wāl Mūshrīkīn‬‬‬‬‬</b:Title>
    <b:Year>1938</b:Year>
    <b:City>Misr</b:City>
    <b:Publisher>Māktābātu Nāhdhīl Mīsrīyāh</b:Publisher>
    <b:RefOrder>9</b:RefOrder>
  </b:Source>
  <b:Source>
    <b:Tag>Placeholder7</b:Tag>
    <b:SourceType>Book</b:SourceType>
    <b:Guid>{10E7799D-48CF-4EAA-A272-0A0676A6E83E}</b:Guid>
    <b:Author>
      <b:Author>
        <b:NameList>
          <b:Person>
            <b:Last>Al-Sūyūṭī</b:Last>
            <b:First>Jālālūdhīn</b:First>
            <b:Middle>ʿĀbdūr Rāhmān bīn Ābī Bākr</b:Middle>
          </b:Person>
        </b:NameList>
      </b:Author>
    </b:Author>
    <b:Title>Al-Īthqān fī ʿŪlūmīl Qūr'ān</b:Title>
    <b:Year>2008</b:Year>
    <b:City>Lebnon</b:City>
    <b:Publisher>Mū'āssīsātū Rīsālāh Nāshīrūn</b:Publisher>
    <b:Edition>First edition</b:Edition>
    <b:RefOrder>10</b:RefOrder>
  </b:Source>
  <b:Source>
    <b:Tag>Sae21</b:Tag>
    <b:SourceType>InternetSite</b:SourceType>
    <b:Guid>{64729E3E-362C-4C0D-8363-8F51B542EBFD}</b:Guid>
    <b:Title>Tāfsīrūl Sāhābā-Mādārīsūhūmūl Mūthāʿādhīdhā Nāshārāth al-Dīn</b:Title>
    <b:Year>2021</b:Year>
    <b:Author>
      <b:Author>
        <b:NameList>
          <b:Person>
            <b:Last>al-Va’ili</b:Last>
            <b:First>Saeed</b:First>
            <b:Middle>bin Suleiman</b:Middle>
          </b:Person>
        </b:NameList>
      </b:Author>
    </b:Author>
    <b:InternetSiteTitle>Oman daily</b:InternetSiteTitle>
    <b:Month>September</b:Month>
    <b:Day>20</b:Day>
    <b:URL>https://www.omandaily.om/روضة الصائم/تفسير-الصحابة-مدارسهم-المتعددة-نشـــ</b:URL>
    <b:RefOrder>11</b:RefOrder>
  </b:Source>
  <b:Source>
    <b:Tag>محم63</b:Tag>
    <b:SourceType>Book</b:SourceType>
    <b:Guid>{4E0B2D7A-7D81-449B-BF61-35643888C35F}</b:Guid>
    <b:Title>Fākhr al-Dīn al-Rāzī wā Ārā'ūhūl Kālāmīyāh</b:Title>
    <b:Year>1963</b:Year>
    <b:Author>
      <b:Author>
        <b:NameList>
          <b:Person>
            <b:Last>al-Zārkān</b:Last>
            <b:First>Mūhāmmēd</b:First>
            <b:Middle>Sālīh</b:Middle>
          </b:Person>
        </b:NameList>
      </b:Author>
    </b:Author>
    <b:City>Beirut</b:City>
    <b:Publisher>Dārūl Fīkr</b:Publisher>
    <b:RefOrder>12</b:RefOrder>
  </b:Source>
  <b:Source>
    <b:Tag>Ang16</b:Tag>
    <b:SourceType>Book</b:SourceType>
    <b:Guid>{6CB45771-F0D4-4D6B-A21A-1260CDEF2AE3}</b:Guid>
    <b:Author>
      <b:Author>
        <b:NameList>
          <b:Person>
            <b:Last>Angelika Neuwirth</b:Last>
            <b:First>Michael</b:First>
            <b:Middle>A. Sells</b:Middle>
          </b:Person>
        </b:NameList>
      </b:Author>
    </b:Author>
    <b:Title>Qur'anic studies Today</b:Title>
    <b:Year>2016</b:Year>
    <b:City>2 Park Square</b:City>
    <b:Publisher>Routledge</b:Publisher>
    <b:RefOrder>13</b:RefOrder>
  </b:Source>
  <b:Source>
    <b:Tag>أدم21</b:Tag>
    <b:SourceType>InternetSite</b:SourceType>
    <b:Guid>{E1A26C5C-29B6-4ACD-A61F-6EE9233553F0}</b:Guid>
    <b:Author>
      <b:Author>
        <b:NameList>
          <b:Person>
            <b:Last>Bīlāsī</b:Last>
            <b:First>A.D</b:First>
            <b:Middle>Muhammed</b:Middle>
          </b:Person>
        </b:NameList>
      </b:Author>
    </b:Author>
    <b:Title>Al-Shēīkh Tānṭāwī Jāwhārī wā Jāwāhīrūhūl Mūnsīyyāh</b:Title>
    <b:Year>2021</b:Year>
    <b:InternetSiteTitle>Darul Uloom Deoband</b:InternetSiteTitle>
    <b:Month>February</b:Month>
    <b:Day>17</b:Day>
    <b:URL>http://www.darululoom-deoband.com/arabic/magazine/tmp/1326780777fix4sub3file.htm</b:URL>
    <b:DayAccessed> accessed on 17-02-2021, 9:18 am</b:DayAccessed>
    <b:RefOrder>14</b:RefOrder>
  </b:Source>
  <b:Source>
    <b:Tag>Mas07</b:Tag>
    <b:SourceType>Book</b:SourceType>
    <b:Guid>{882D12E4-B222-480D-99B4-056D3C98785D}</b:Guid>
    <b:Author>
      <b:Author>
        <b:NameList>
          <b:Person>
            <b:Last>Campanini</b:Last>
            <b:First>Massimo</b:First>
          </b:Person>
        </b:NameList>
      </b:Author>
    </b:Author>
    <b:Title>The Qur'an the Basics</b:Title>
    <b:Year>2007</b:Year>
    <b:City>2 Park Square</b:City>
    <b:Publisher>Routledge</b:Publisher>
    <b:RefOrder>15</b:RefOrder>
  </b:Source>
  <b:Source>
    <b:Tag>Cuy15</b:Tag>
    <b:SourceType>Book</b:SourceType>
    <b:Guid>{C77299FE-3B88-47E2-B3E2-13DB008374D4}</b:Guid>
    <b:Author>
      <b:Author>
        <b:NameList>
          <b:Person>
            <b:Last>Cuypers</b:Last>
            <b:First>Michel</b:First>
          </b:Person>
        </b:NameList>
      </b:Author>
    </b:Author>
    <b:Title>The Composition of the Qur’an Rhetorical Analysis</b:Title>
    <b:Year>2015</b:Year>
    <b:City>London</b:City>
    <b:Publisher>Bloomsbury Academic</b:Publisher>
    <b:RefOrder>16</b:RefOrder>
  </b:Source>
  <b:Source>
    <b:Tag>Rec14</b:Tag>
    <b:SourceType>Book</b:SourceType>
    <b:Guid>{F8EB5AA4-3D22-4153-9482-C653C1C3E668}</b:Guid>
    <b:Author>
      <b:Author>
        <b:NameList>
          <b:Person>
            <b:Last>Dogan</b:Last>
            <b:First>Recep</b:First>
          </b:Person>
        </b:NameList>
      </b:Author>
    </b:Author>
    <b:Title>Usul al-tafsir : the sciences and methodology of the Qur’an</b:Title>
    <b:Year>2014</b:Year>
    <b:City>Clifton</b:City>
    <b:Publisher> Tughra Books</b:Publisher>
    <b:RefOrder>18</b:RefOrder>
  </b:Source>
  <b:Source>
    <b:Tag>Ray14</b:Tag>
    <b:SourceType>Book</b:SourceType>
    <b:Guid>{B64C21A5-2D33-45E9-89C1-3796945CA7CE}</b:Guid>
    <b:Author>
      <b:Author>
        <b:NameList>
          <b:Person>
            <b:Last>Farrin</b:Last>
            <b:First>Raymond</b:First>
          </b:Person>
        </b:NameList>
      </b:Author>
    </b:Author>
    <b:Title>Structure and Qur’anic interpretation : a study of symmetry and coherence in Islam’s holy text</b:Title>
    <b:Year>2014</b:Year>
    <b:City>Ashland</b:City>
    <b:Publisher>White Cloud Press</b:Publisher>
    <b:RefOrder>19</b:RefOrder>
  </b:Source>
  <b:Source>
    <b:Tag>Fra07</b:Tag>
    <b:SourceType>JournalArticle</b:SourceType>
    <b:Guid>{32C05866-796C-4C5B-A95F-21E99822D8ED}</b:Guid>
    <b:Title>On Fakhr Al-Din Al-Razi’S Life And The Patronage He Recieved </b:Title>
    <b:Year>2007</b:Year>
    <b:Author>
      <b:Author>
        <b:NameList>
          <b:Person>
            <b:Last>Griffel</b:Last>
            <b:First>Frank</b:First>
          </b:Person>
        </b:NameList>
      </b:Author>
    </b:Author>
    <b:JournalName>Journal of Islamic Studies</b:JournalName>
    <b:Pages>313-344</b:Pages>
    <b:RefOrder>20</b:RefOrder>
  </b:Source>
  <b:Source>
    <b:Tag>DrG21</b:Tag>
    <b:SourceType>InternetSite</b:SourceType>
    <b:Guid>{E0446F48-CD3B-47F6-839E-52A4802028B9}</b:Guid>
    <b:Author>
      <b:Author>
        <b:NameList>
          <b:Person>
            <b:Last>Haddad</b:Last>
            <b:First>Dr.</b:First>
            <b:Middle>G. F.</b:Middle>
          </b:Person>
        </b:NameList>
      </b:Author>
    </b:Author>
    <b:Title>Al-Fakhr al- Razi</b:Title>
    <b:InternetSiteTitle>As- Sunnah foundation of America</b:InternetSiteTitle>
    <b:Year>2021</b:Year>
    <b:Month>January</b:Month>
    <b:Day>19</b:Day>
    <b:URL>https://sunnah.org/2008/07/18/al-fakhr-al-razi/</b:URL>
    <b:RefOrder>21</b:RefOrder>
  </b:Source>
  <b:Source>
    <b:Tag>Imr16</b:Tag>
    <b:SourceType>Book</b:SourceType>
    <b:Guid>{5E723CB6-9C09-4290-97FA-716BD8D61D88}</b:Guid>
    <b:Author>
      <b:Author>
        <b:NameList>
          <b:Person>
            <b:Last>Hosein</b:Last>
            <b:First>Imran</b:First>
            <b:Middle>N</b:Middle>
          </b:Person>
        </b:NameList>
      </b:Author>
    </b:Author>
    <b:Title>An Introduction To Methodology For Study of the Qur'an</b:Title>
    <b:Year>2016</b:Year>
    <b:City>SanFernando</b:City>
    <b:Publisher>Imran N Hosein Publications</b:Publisher>
    <b:RefOrder>22</b:RefOrder>
  </b:Source>
  <b:Source>
    <b:Tag>Tar15</b:Tag>
    <b:SourceType>Book</b:SourceType>
    <b:Guid>{9D37E1C4-1EAE-432B-80BD-8E550E4C603E}</b:Guid>
    <b:Author>
      <b:Author>
        <b:NameList>
          <b:Person>
            <b:Last>Jaffer</b:Last>
            <b:First>Tariq</b:First>
          </b:Person>
        </b:NameList>
      </b:Author>
    </b:Author>
    <b:Title> Rāzī: master of Quranic interpretation and theological reasoning  </b:Title>
    <b:Year>2015</b:Year>
    <b:City>New york City</b:City>
    <b:Publisher>Oxford University Press</b:Publisher>
    <b:RefOrder>23</b:RefOrder>
  </b:Source>
  <b:Source>
    <b:Tag>أحم21</b:Tag>
    <b:SourceType>InternetSite</b:SourceType>
    <b:Guid>{1DBCCEE1-A382-43BA-BB86-8D542C4C5A14}</b:Guid>
    <b:Author>
      <b:Author>
        <b:NameList>
          <b:Person>
            <b:Last>Mūsṭāfā</b:Last>
            <b:First>Āhmēd</b:First>
          </b:Person>
        </b:NameList>
      </b:Author>
    </b:Author>
    <b:Title>Lāmhātūn mīn Hāyātīl ʿĀlīm al-Shēīkh Ṭānṭāwī Jāwhārī</b:Title>
    <b:InternetSiteTitle>Ikhwanwiki.com</b:InternetSiteTitle>
    <b:Year>2021</b:Year>
    <b:Month>February</b:Month>
    <b:Day>20</b:Day>
    <b:URL>http://www.ikhwan.wiki/index.php?title=لمحات_من_حياة_العالم_الشيخ_طنطاوي_جوهري</b:URL>
    <b:RefOrder>24</b:RefOrder>
  </b:Source>
  <b:Source>
    <b:Tag>Shi05</b:Tag>
    <b:SourceType>JournalArticle</b:SourceType>
    <b:Guid>{8D948FB1-FC5E-4EB2-9491-62843FA36A80}</b:Guid>
    <b:Title>From Al-Gazzali to Al-Razi : 6th/12th Century Developments in Muslim Philosophical Theology</b:Title>
    <b:Year>2005</b:Year>
    <b:Author>
      <b:Author>
        <b:NameList>
          <b:Person>
            <b:Last>Shihadeh</b:Last>
            <b:First>Ayman</b:First>
          </b:Person>
        </b:NameList>
      </b:Author>
    </b:Author>
    <b:JournalName>Arabic Sciences and Philosophy</b:JournalName>
    <b:Pages>141-179</b:Pages>
    <b:Publisher>Cambridge University Press</b:Publisher>
    <b:Volume>vol 15</b:Volume>
    <b:RefOrder>25</b:RefOrder>
  </b:Source>
  <b:Source>
    <b:Tag>Aym06</b:Tag>
    <b:SourceType>Book</b:SourceType>
    <b:Guid>{EB46E7E5-C54B-48BC-A3BF-B1D7FD88267C}</b:Guid>
    <b:Author>
      <b:Author>
        <b:NameList>
          <b:Person>
            <b:Last>Shihadeh</b:Last>
            <b:First>Ayman</b:First>
          </b:Person>
        </b:NameList>
      </b:Author>
    </b:Author>
    <b:Title>The Teleological Ethics of Fakhr al-Din al-Razi</b:Title>
    <b:Year>2006</b:Year>
    <b:City>Boston</b:City>
    <b:Publisher>Brill Leiden</b:Publisher>
    <b:RefOrder>26</b:RefOrder>
  </b:Source>
  <b:Source>
    <b:Tag>Mun13</b:Tag>
    <b:SourceType>Book</b:SourceType>
    <b:Guid>{4076486C-ABC5-4229-9F55-120D77DF9FE1}</b:Guid>
    <b:Author>
      <b:Author>
        <b:NameList>
          <b:Person>
            <b:Last>Younes</b:Last>
            <b:First>Munther</b:First>
          </b:Person>
        </b:NameList>
      </b:Author>
    </b:Author>
    <b:Title>The Routledge Introduction to Qur’anic Arabic</b:Title>
    <b:Year>2013</b:Year>
    <b:City> 2 Park Sqaure</b:City>
    <b:Publisher> Routledge</b:Publisher>
    <b:RefOrder>27</b:RefOrder>
  </b:Source>
  <b:Source>
    <b:Tag>Rob08</b:Tag>
    <b:SourceType>Book</b:SourceType>
    <b:Guid>{31F9FB25-F1BA-45B7-AEB1-61AFBD0B3762}</b:Guid>
    <b:Author>
      <b:Author>
        <b:NameList>
          <b:Person>
            <b:Last>Winzeler</b:Last>
            <b:First>Robert</b:First>
          </b:Person>
        </b:NameList>
      </b:Author>
    </b:Author>
    <b:Title>Anthropology and religion: What we know, think, and question</b:Title>
    <b:Year>2008</b:Year>
    <b:City>Lanham</b:City>
    <b:Publisher>AltaMira Press</b:Publisher>
    <b:RefOrder>1</b:RefOrder>
  </b:Source>
  <b:Source>
    <b:Tag>Kei12</b:Tag>
    <b:SourceType>Book</b:SourceType>
    <b:Guid>{2758BD33-DFCA-4190-9D2A-7B7C5FA5F14C}</b:Guid>
    <b:Author>
      <b:Author>
        <b:Corporate>Roberts, K., &amp; Yamane, D.</b:Corporate>
      </b:Author>
    </b:Author>
    <b:Title>Religion in sociological perspective</b:Title>
    <b:Year>2012</b:Year>
    <b:Publisher>Sage Publications</b:Publisher>
    <b:City>London</b:City>
    <b:RefOrder>2</b:RefOrder>
  </b:Source>
  <b:Source>
    <b:Tag>Ell07</b:Tag>
    <b:SourceType>Book</b:SourceType>
    <b:Guid>{1B2EEAB2-6A74-4DDB-A9B9-38EF3D2C5B73}</b:Guid>
    <b:Author>
      <b:Author>
        <b:NameList>
          <b:Person>
            <b:Last>Eller</b:Last>
            <b:First>Jack</b:First>
          </b:Person>
        </b:NameList>
      </b:Author>
    </b:Author>
    <b:Title>Introducing anthropology of religion: Culture to the ultimate</b:Title>
    <b:Year>2007</b:Year>
    <b:City>London and New York</b:City>
    <b:Publisher>Routledge</b:Publisher>
    <b:RefOrder>3</b:RefOrder>
  </b:Source>
  <b:Source>
    <b:Tag>Joh12</b:Tag>
    <b:SourceType>BookSection</b:SourceType>
    <b:Guid>{E65763A6-A0EC-486A-A676-A9263209A107}</b:Guid>
    <b:Author>
      <b:Author>
        <b:NameList>
          <b:Person>
            <b:Last>Bowen</b:Last>
            <b:First>John</b:First>
          </b:Person>
        </b:NameList>
      </b:Author>
      <b:BookAuthor>
        <b:NameList>
          <b:Person>
            <b:Last>Kreinath</b:Last>
            <b:First>Jens</b:First>
          </b:Person>
        </b:NameList>
      </b:BookAuthor>
    </b:Author>
    <b:Title>On scriptural essentialism and ritual variation, Muslim sacrifice in Sumatra and Morocco</b:Title>
    <b:Year>2012</b:Year>
    <b:City>London and New York</b:City>
    <b:Publisher>Routledge</b:Publisher>
    <b:BookTitle>Anthropology of Islam reader</b:BookTitle>
    <b:Pages>215-229</b:Pages>
    <b:RefOrder>4</b:RefOrder>
  </b:Source>
  <b:Source>
    <b:Tag>Arn60</b:Tag>
    <b:SourceType>Book</b:SourceType>
    <b:Guid>{99EBDCEA-1DBC-492D-A603-E54B7C4AFB78}</b:Guid>
    <b:Author>
      <b:Author>
        <b:NameList>
          <b:Person>
            <b:Last>Gennep</b:Last>
            <b:First>Arnold</b:First>
            <b:Middle>Van</b:Middle>
          </b:Person>
        </b:NameList>
      </b:Author>
    </b:Author>
    <b:Title>The rites of passage</b:Title>
    <b:Year>1960</b:Year>
    <b:Publisher>Routledge &amp; Kegan Paul Ltd.</b:Publisher>
    <b:City>London </b:City>
    <b:RefOrder>5</b:RefOrder>
  </b:Source>
  <b:Source>
    <b:Tag>Cat97</b:Tag>
    <b:SourceType>Book</b:SourceType>
    <b:Guid>{175B9595-86A2-4D55-B9D7-75303B425D8F}</b:Guid>
    <b:Author>
      <b:Author>
        <b:NameList>
          <b:Person>
            <b:Last>Bell</b:Last>
            <b:First>Catherine</b:First>
          </b:Person>
        </b:NameList>
      </b:Author>
    </b:Author>
    <b:Title>Ritual: Perspectives and dimensions</b:Title>
    <b:Year>1997</b:Year>
    <b:City>New York</b:City>
    <b:Publisher>Oxford University Press</b:Publisher>
    <b:RefOrder>6</b:RefOrder>
  </b:Source>
  <b:Source>
    <b:Tag>Cat92</b:Tag>
    <b:SourceType>Book</b:SourceType>
    <b:Guid>{60DC3DBB-230F-4150-AA41-20A2FC00B301}</b:Guid>
    <b:Author>
      <b:Author>
        <b:NameList>
          <b:Person>
            <b:Last>Bell</b:Last>
            <b:First>Catherine</b:First>
          </b:Person>
        </b:NameList>
      </b:Author>
    </b:Author>
    <b:Title>Ritual theory, ritual practice</b:Title>
    <b:Year>1992</b:Year>
    <b:City>New York</b:City>
    <b:Publisher>Oxford University Press</b:Publisher>
    <b:RefOrder>7</b:RefOrder>
  </b:Source>
  <b:Source>
    <b:Tag>Wal13</b:Tag>
    <b:SourceType>Book</b:SourceType>
    <b:Guid>{09E9FEDE-E898-4340-83DA-7D75F1ACEA96}</b:Guid>
    <b:Author>
      <b:Author>
        <b:NameList>
          <b:Person>
            <b:Last>Wallace</b:Last>
            <b:First>Anthony</b:First>
          </b:Person>
        </b:NameList>
      </b:Author>
    </b:Author>
    <b:Title>Religion: An anthropological view</b:Title>
    <b:Year>1966</b:Year>
    <b:City>London</b:City>
    <b:Publisher>Random House Publishing Group</b:Publisher>
    <b:Comments>Originally published in 1966</b:Comments>
    <b:RefOrder>8</b:RefOrder>
  </b:Source>
  <b:Source>
    <b:Tag>Lea68</b:Tag>
    <b:SourceType>JournalArticle</b:SourceType>
    <b:Guid>{A71B32A9-C554-46D9-AB08-75D7F072454A}</b:Guid>
    <b:Author>
      <b:Author>
        <b:NameList>
          <b:Person>
            <b:Last>Leach</b:Last>
            <b:First>Edmund</b:First>
            <b:Middle>R.</b:Middle>
          </b:Person>
        </b:NameList>
      </b:Author>
    </b:Author>
    <b:Title>Ritual</b:Title>
    <b:Year>1968</b:Year>
    <b:JournalName>The International Encyclopedia of the Social Sciences</b:JournalName>
    <b:Pages>Vol 13,  526</b:Pages>
    <b:RefOrder>9</b:RefOrder>
  </b:Source>
  <b:Source>
    <b:Tag>Vic69</b:Tag>
    <b:SourceType>Book</b:SourceType>
    <b:Guid>{4FE715DC-1C70-46F1-BAE1-FF52FAD4D3EE}</b:Guid>
    <b:Author>
      <b:Author>
        <b:NameList>
          <b:Person>
            <b:Last>Turner</b:Last>
            <b:First>Victor</b:First>
          </b:Person>
        </b:NameList>
      </b:Author>
    </b:Author>
    <b:Title>The ritual process: Structure and anti-structure</b:Title>
    <b:Year>1969</b:Year>
    <b:City>United States of America</b:City>
    <b:Publisher>Aldine Publishing Company</b:Publisher>
    <b:RefOrder>10</b:RefOrder>
  </b:Source>
  <b:Source>
    <b:Tag>Ron00</b:Tag>
    <b:SourceType>Book</b:SourceType>
    <b:Guid>{95263054-21D9-4BA7-8CCF-D7F5A96AAB81}</b:Guid>
    <b:Author>
      <b:Author>
        <b:NameList>
          <b:Person>
            <b:Last>Grimes</b:Last>
            <b:First>Ronald</b:First>
          </b:Person>
        </b:NameList>
      </b:Author>
    </b:Author>
    <b:Title>Deeply into the bone: Re-inventing rites of passage</b:Title>
    <b:Year>2000</b:Year>
    <b:Publisher>University of California</b:Publisher>
    <b:City>Berkeley</b:City>
    <b:RefOrder>11</b:RefOrder>
  </b:Source>
  <b:Source>
    <b:Tag>Mau68</b:Tag>
    <b:SourceType>JournalArticle</b:SourceType>
    <b:Guid>{4B9CE25C-9F88-43E8-9A8E-EC86F6FDF9BE}</b:Guid>
    <b:Author>
      <b:Author>
        <b:NameList>
          <b:Person>
            <b:Last>Bloch</b:Last>
            <b:First>Maurice</b:First>
          </b:Person>
        </b:NameList>
      </b:Author>
    </b:Author>
    <b:Title>Tombs and conservatism among the Merina of Madagascar</b:Title>
    <b:Year>1968</b:Year>
    <b:City>London</b:City>
    <b:Publisher>Royal Anthropological Institute</b:Publisher>
    <b:JournalName>Royal Anthropological Institute of Great Britain and Ireland</b:JournalName>
    <b:Pages> pp. 94-104</b:Pages>
    <b:RefOrder>12</b:RefOrder>
  </b:Source>
  <b:Source>
    <b:Tag>Akb86</b:Tag>
    <b:SourceType>Book</b:SourceType>
    <b:Guid>{B0E081F1-6B9D-4CE5-959D-BECFDCC26261}</b:Guid>
    <b:Author>
      <b:Author>
        <b:NameList>
          <b:Person>
            <b:Last>Ahmed</b:Last>
            <b:First>Akbar</b:First>
            <b:Middle>S</b:Middle>
          </b:Person>
        </b:NameList>
      </b:Author>
    </b:Author>
    <b:Title>Toward Islamic anthropology: Definition, dogma and directions</b:Title>
    <b:Year>1986</b:Year>
    <b:City>Virginia</b:City>
    <b:Publisher>International Institute of Islamic Thought</b:Publisher>
    <b:RefOrder>13</b:RefOrder>
  </b:Source>
  <b:Source>
    <b:Tag>Akb12</b:Tag>
    <b:SourceType>BookSection</b:SourceType>
    <b:Guid>{50A2C8A1-935A-45B3-AB23-A14BB79EDCB0}</b:Guid>
    <b:Author>
      <b:Author>
        <b:NameList>
          <b:Person>
            <b:Last>Ahmed</b:Last>
            <b:First>Akbar</b:First>
            <b:Middle>S</b:Middle>
          </b:Person>
        </b:NameList>
      </b:Author>
      <b:BookAuthor>
        <b:NameList>
          <b:Person>
            <b:Last>Kreinath</b:Last>
            <b:First>Jens</b:First>
          </b:Person>
        </b:NameList>
      </b:BookAuthor>
    </b:Author>
    <b:Title>Toward Islamic anthropology</b:Title>
    <b:BookTitle>Anthropology of Islam reader</b:BookTitle>
    <b:Year>2012</b:Year>
    <b:Pages>279-293</b:Pages>
    <b:City>London and New York</b:City>
    <b:Publisher>Routledge</b:Publisher>
    <b:RefOrder>14</b:RefOrder>
  </b:Source>
  <b:Source>
    <b:Tag>Abd12</b:Tag>
    <b:SourceType>BookSection</b:SourceType>
    <b:Guid>{291CFF51-2111-4A14-B5F8-B801A2C0B4D4}</b:Guid>
    <b:Author>
      <b:Author>
        <b:NameList>
          <b:Person>
            <b:Last>Zein</b:Last>
            <b:First>Abdul</b:First>
            <b:Middle>Hamid el</b:Middle>
          </b:Person>
        </b:NameList>
      </b:Author>
      <b:BookAuthor>
        <b:NameList>
          <b:Person>
            <b:Last>Kreinath</b:Last>
            <b:First>Jens</b:First>
          </b:Person>
        </b:NameList>
      </b:BookAuthor>
    </b:Author>
    <b:Title>Beyond ideology and theology: The search for anthropology</b:Title>
    <b:BookTitle>The anthropology of Islam reader</b:BookTitle>
    <b:Year>2012</b:Year>
    <b:Pages>77-92</b:Pages>
    <b:City>London and New York</b:City>
    <b:Publisher>Routledge</b:Publisher>
    <b:RefOrder>15</b:RefOrder>
  </b:Source>
  <b:Source>
    <b:Tag>Asa86</b:Tag>
    <b:SourceType>Report</b:SourceType>
    <b:Guid>{E0D1891D-4D18-4479-B21A-E2CCD0187F7A}</b:Guid>
    <b:Author>
      <b:Author>
        <b:NameList>
          <b:Person>
            <b:Last>Asad</b:Last>
            <b:First>Talal</b:First>
          </b:Person>
        </b:NameList>
      </b:Author>
    </b:Author>
    <b:Title>The idea of an anthropology of Islam</b:Title>
    <b:Year>1986</b:Year>
    <b:Publisher>Georgetown University Centre for Contemporary Studies</b:Publisher>
    <b:City>Washington D.C</b:City>
    <b:ThesisType>Occasion papers series</b:ThesisType>
    <b:RefOrder>16</b:RefOrder>
  </b:Source>
  <b:Source>
    <b:Tag>Nil12</b:Tag>
    <b:SourceType>Book</b:SourceType>
    <b:Guid>{D29E4E6A-5A16-400F-A9CA-C32E4520BC90}</b:Guid>
    <b:Author>
      <b:Author>
        <b:NameList>
          <b:Person>
            <b:Last>Green</b:Last>
            <b:First>Nile</b:First>
          </b:Person>
        </b:NameList>
      </b:Author>
    </b:Author>
    <b:Title>Sufism: A global history</b:Title>
    <b:Year>2012</b:Year>
    <b:City>Sussex</b:City>
    <b:Publisher>Wiey Blackwell</b:Publisher>
    <b:RefOrder>17</b:RefOrder>
  </b:Source>
  <b:Source>
    <b:Tag>Mad15</b:Tag>
    <b:SourceType>Report</b:SourceType>
    <b:Guid>{51BB8EFF-E014-4862-A029-A73EC72E471E}</b:Guid>
    <b:Author>
      <b:Author>
        <b:NameList>
          <b:Person>
            <b:Last>Madappalli</b:Last>
            <b:First>Muhammed</b:First>
          </b:Person>
        </b:NameList>
      </b:Author>
    </b:Author>
    <b:Title>South Indian Sufism: A ethnographic study on Sufi shrines</b:Title>
    <b:Year>2015</b:Year>
    <b:City>New Delhi</b:City>
    <b:Publisher>Jawaharlal Nehru University</b:Publisher>
    <b:ThesisType>unpublished PhD thesis</b:ThesisType>
    <b:RefOrder>18</b:RefOrder>
  </b:Source>
  <b:Source>
    <b:Tag>Alʿ</b:Tag>
    <b:SourceType>Book</b:SourceType>
    <b:Guid>{2D8FD112-F0BC-4A50-9FC2-D63E77C3960D}</b:Guid>
    <b:Author>
      <b:Author>
        <b:NameList>
          <b:Person>
            <b:Last>Al-ʿAjlūnī</b:Last>
            <b:First>Ismāʿīl</b:First>
            <b:Middle>b. Muḥammad b. ʿAbd al-Hādī al-Jarrāḥ</b:Middle>
          </b:Person>
        </b:NameList>
      </b:Author>
      <b:Editor>
        <b:NameList>
          <b:Person>
            <b:Last>Aḥmad</b:Last>
            <b:First>Yūsuf</b:First>
            <b:Middle>b. Maḥmūd al-Ḥajjāj</b:Middle>
          </b:Person>
        </b:NameList>
      </b:Editor>
    </b:Author>
    <b:Title>Kashf al-Khafāʾ wa-Muzīl al-Ilbās ʿammā Ishtahara min al-Aḥādīth ʿala Alsinat al-Nās</b:Title>
    <b:Publisher>Maktabat "Ilm al-Ḥadīth</b:Publisher>
    <b:Volume>2</b:Volume>
    <b:Edition>1</b:Edition>
    <b:RefOrder>15</b:RefOrder>
  </b:Source>
  <b:Source>
    <b:Tag>Alʿ89</b:Tag>
    <b:SourceType>Book</b:SourceType>
    <b:Guid>{942C9A12-066B-4B14-A378-70CE3B3F06E7}</b:Guid>
    <b:Author>
      <b:Author>
        <b:NameList>
          <b:Person>
            <b:Last>Al-ʿĀmidī</b:Last>
            <b:First>Nāṣiḥ</b:First>
            <b:Middle>al-Dīn Abu al-Fatḥ ʿAbd al-Wāḥid b. Muḥammad al-Tamīmī</b:Middle>
          </b:Person>
        </b:NameList>
      </b:Author>
    </b:Author>
    <b:Title>Ghurar al-Ḥikam wa Durar al-Kalim</b:Title>
    <b:Year>1989</b:Year>
    <b:City>Bayrūt</b:City>
    <b:Publisher>Dār al-Qārī</b:Publisher>
    <b:RefOrder>21</b:RefOrder>
  </b:Source>
  <b:Source>
    <b:Tag>alA</b:Tag>
    <b:SourceType>Book</b:SourceType>
    <b:Guid>{59511C46-968E-4889-8021-31E3D065B7B4}</b:Guid>
    <b:Author>
      <b:Author>
        <b:NameList>
          <b:Person>
            <b:Last>al-Aṣfahānī</b:Last>
            <b:First>Abū</b:First>
            <b:Middle>Nuʿaym Aḥmad b. ʿAbd Allāh</b:Middle>
          </b:Person>
        </b:NameList>
      </b:Author>
    </b:Author>
    <b:Title>Ḥilyat al-Awliyāʾ wa Ṭabqāt al-Aṣfiyāʾ</b:Title>
    <b:City>Bayrūt</b:City>
    <b:Publisher>Dār al-Kutub al-ʿIlmīyyah</b:Publisher>
    <b:Volume>10</b:Volume>
    <b:RefOrder>4</b:RefOrder>
  </b:Source>
  <b:Source>
    <b:Tag>alB97</b:Tag>
    <b:SourceType>Book</b:SourceType>
    <b:Guid>{B4CF5526-83C5-4F9E-8072-E9060AF6546C}</b:Guid>
    <b:Author>
      <b:Author>
        <b:NameList>
          <b:Person>
            <b:Last>al-Baghdādī</b:Last>
            <b:First>Khaṭīb</b:First>
            <b:Middle>Abū Bakr Aḥmad b. ʿAlī b. Thābit al-Shāfiʿī</b:Middle>
          </b:Person>
        </b:NameList>
      </b:Author>
    </b:Author>
    <b:Title>al-Muttafaq wa al-Muftaraq</b:Title>
    <b:Year>1997</b:Year>
    <b:City>Bayrūt</b:City>
    <b:Publisher>Dār al-Qādirī</b:Publisher>
    <b:Volume>3</b:Volume>
    <b:RefOrder>2</b:RefOrder>
  </b:Source>
  <b:Source>
    <b:Tag>alB</b:Tag>
    <b:SourceType>Book</b:SourceType>
    <b:Guid>{4AF52334-AC23-4F1C-B9D5-3DD131B0DA3A}</b:Guid>
    <b:Author>
      <b:Author>
        <b:NameList>
          <b:Person>
            <b:Last>al-Bukhārī</b:Last>
            <b:First>Muḥammad</b:First>
            <b:Middle>b. Ismāʿīl</b:Middle>
          </b:Person>
        </b:NameList>
      </b:Author>
    </b:Author>
    <b:Title>Ṣaḥīḥ al-Bukhārī</b:Title>
    <b:RefOrder>32</b:RefOrder>
  </b:Source>
  <b:Source>
    <b:Tag>AlD81</b:Tag>
    <b:SourceType>Book</b:SourceType>
    <b:Guid>{3E51C721-8C17-4464-A2D2-658BD551538C}</b:Guid>
    <b:Author>
      <b:Author>
        <b:NameList>
          <b:Person>
            <b:Last>Al-Dhahabī</b:Last>
            <b:First>Shams</b:First>
            <b:Middle>al-Dīn</b:Middle>
          </b:Person>
        </b:NameList>
      </b:Author>
      <b:Editor>
        <b:NameList>
          <b:Person>
            <b:Last>al-Asad</b:Last>
            <b:First>Shuʿayb</b:First>
            <b:Middle>al-Arnaʾūt and Ḥusayn</b:Middle>
          </b:Person>
        </b:NameList>
      </b:Editor>
    </b:Author>
    <b:Title>Siyar Aʿlām al-Nubalāʾ</b:Title>
    <b:Year>1981</b:Year>
    <b:City>Bayrūṭ</b:City>
    <b:Publisher>Mu'assasah al-Risālah</b:Publisher>
    <b:RefOrder>41</b:RefOrder>
  </b:Source>
  <b:Source>
    <b:Tag>alG88</b:Tag>
    <b:SourceType>Book</b:SourceType>
    <b:Guid>{920CBB0A-3D5A-4C83-8FD6-91097C2634FF}</b:Guid>
    <b:Author>
      <b:Author>
        <b:NameList>
          <b:Person>
            <b:Last>al-Ghazālī</b:Last>
            <b:First>Muḥammad</b:First>
            <b:Middle>b. Muḥammad</b:Middle>
          </b:Person>
        </b:NameList>
      </b:Author>
    </b:Author>
    <b:Title>Maʿārij al-Quds fī Madārij Maʿrifat al-Nafs (The Ascent to the Divine through the Path of Self-knowing). Khuṭbah al-Kitāb</b:Title>
    <b:Year>1988</b:Year>
    <b:City>Bayrūt</b:City>
    <b:Publisher>Dār al-Kutub al-"Ilmīyyah</b:Publisher>
    <b:RefOrder>6</b:RefOrder>
  </b:Source>
  <b:Source>
    <b:Tag>AlG11</b:Tag>
    <b:SourceType>Book</b:SourceType>
    <b:Guid>{A3852507-C518-4878-87A4-B3364205A9F9}</b:Guid>
    <b:Author>
      <b:Author>
        <b:NameList>
          <b:Person>
            <b:Last>Al-Ghazālī</b:Last>
            <b:First>Muḥammad</b:First>
            <b:Middle>b. Muḥammad</b:Middle>
          </b:Person>
        </b:NameList>
      </b:Author>
    </b:Author>
    <b:Title>Ihyā`u 'ulūm al-Dīn</b:Title>
    <b:Year>2011</b:Year>
    <b:City>Jeddah</b:City>
    <b:Publisher>Dār al-Minhāj</b:Publisher>
    <b:CountryRegion>Saudi Arabia</b:CountryRegion>
    <b:NumberVolumes>9</b:NumberVolumes>
    <b:ShortTitle>al-Ihyaa`</b:ShortTitle>
    <b:Edition>1</b:Edition>
    <b:RefOrder>42</b:RefOrder>
  </b:Source>
  <b:Source>
    <b:Tag>alG</b:Tag>
    <b:SourceType>Book</b:SourceType>
    <b:Guid>{660B3FC9-1D7A-4A6F-9270-7A521612F87D}</b:Guid>
    <b:Author>
      <b:Author>
        <b:NameList>
          <b:Person>
            <b:Last>al-Ghazālī</b:Last>
            <b:First>Muḥammad</b:First>
            <b:Middle>b. Muḥammad</b:Middle>
          </b:Person>
        </b:NameList>
      </b:Author>
    </b:Author>
    <b:Title>Juhūd al-Imām al-Ghazālī fī ʿIlm al-Tafsīr, al-Tafīr wa al-Tarjmāt</b:Title>
    <b:Publisher>Jāmiʿ al-Kutub al-Islāīyyah</b:Publisher>
    <b:Volume>1</b:Volume>
    <b:RefOrder>35</b:RefOrder>
  </b:Source>
  <b:Source>
    <b:Tag>alJ64</b:Tag>
    <b:SourceType>Book</b:SourceType>
    <b:Guid>{8F983AD2-2F42-4C2D-9CF6-4915A9C99AE5}</b:Guid>
    <b:Author>
      <b:Author>
        <b:NameList>
          <b:Person>
            <b:Last>al-Jāḥiẓ</b:Last>
            <b:First>ʿAmr</b:First>
            <b:Middle>b. Bḥr</b:Middle>
          </b:Person>
        </b:NameList>
      </b:Author>
    </b:Author>
    <b:Title>Maṭlūb Kulli Ṭālib min Kalām ʿAlī b. Abī Ṭālib</b:Title>
    <b:Year>1964</b:Year>
    <b:City>Qum</b:City>
    <b:Publisher>Bunyād Nahj al-Balāghah</b:Publisher>
    <b:RefOrder>43</b:RefOrder>
  </b:Source>
  <b:Source>
    <b:Tag>AlJ</b:Tag>
    <b:SourceType>Book</b:SourceType>
    <b:Guid>{0D9DF2E4-1133-44B9-8920-F479E6482FF8}</b:Guid>
    <b:Author>
      <b:Author>
        <b:NameList>
          <b:Person>
            <b:Last>Al-Jawnphūrī</b:Last>
            <b:First>Muḥammad</b:First>
            <b:Middle>Yūnus</b:Middle>
          </b:Person>
        </b:NameList>
      </b:Author>
    </b:Author>
    <b:Title>al-Yawāqīt al-Ghāliyah fī Taḥqīq wa Takhrīj al-Aḥādith al-ʿĀliyah</b:Title>
    <b:City>England</b:City>
    <b:Publisher>Majlis Daʿwat al-Ḥaq</b:Publisher>
    <b:Volume>1</b:Volume>
    <b:Edition>1</b:Edition>
    <b:RefOrder>27</b:RefOrder>
  </b:Source>
  <b:Source>
    <b:Tag>Ibn97</b:Tag>
    <b:SourceType>Book</b:SourceType>
    <b:Guid>{B622A7A2-688B-4448-BE12-5465DE13F6BF}</b:Guid>
    <b:Author>
      <b:Author>
        <b:NameList>
          <b:Person>
            <b:Last>al-Jawzīyyah</b:Last>
            <b:First>Ibn</b:First>
            <b:Middle>al-Qayyim</b:Middle>
          </b:Person>
        </b:NameList>
      </b:Author>
    </b:Author>
    <b:Title>Ighāthah al-Lahfān fī Maṣāyid al-Shayṭān</b:Title>
    <b:Year>1997</b:Year>
    <b:City>Cairo</b:City>
    <b:Publisher>Dār al-Ḥadīth</b:Publisher>
    <b:RefOrder>44</b:RefOrder>
  </b:Source>
  <b:Source>
    <b:Tag>AlJ07</b:Tag>
    <b:SourceType>Book</b:SourceType>
    <b:Guid>{05A35A59-0862-4A13-85DD-41A3DC290237}</b:Guid>
    <b:Author>
      <b:Author>
        <b:NameList>
          <b:Person>
            <b:Last>Al-Jīlānī</b:Last>
            <b:First>ʿAbd</b:First>
            <b:Middle>al-Qādir b. Mūsa b. ʿAbd Allāh</b:Middle>
          </b:Person>
        </b:NameList>
      </b:Author>
    </b:Author>
    <b:Title>al-Fatḥ al-Rabbānī wa al-Fayḍ al-Raḥmānī</b:Title>
    <b:Year>2007</b:Year>
    <b:City>Baghdād</b:City>
    <b:Publisher>Manshūrāt al-Jamal</b:Publisher>
    <b:Edition>1</b:Edition>
    <b:RefOrder>36</b:RefOrder>
  </b:Source>
  <b:Source>
    <b:Tag>AlJ96</b:Tag>
    <b:SourceType>Book</b:SourceType>
    <b:Guid>{F9B7905D-4003-498E-8A1E-C30795773C62}</b:Guid>
    <b:Author>
      <b:Author>
        <b:NameList>
          <b:Person>
            <b:Last>Al-Jīlānī</b:Last>
            <b:First>ʿAbd</b:First>
            <b:Middle>al-Qādir b. Mūsa b. ʿAbd Allāh</b:Middle>
          </b:Person>
        </b:NameList>
      </b:Author>
      <b:Editor>
        <b:NameList>
          <b:Person>
            <b:Last>ʿUmar</b:Last>
            <b:First>Muḥammad</b:First>
            <b:Middle>Khālid</b:Middle>
          </b:Person>
        </b:NameList>
      </b:Editor>
    </b:Author>
    <b:Title>al-Ghunyah li-Ṭālibī Ṭarīq al-Ḥaq</b:Title>
    <b:Year>1996</b:Year>
    <b:City>Bayrūt, Lebanon</b:City>
    <b:Publisher>Dār Iḥyāʾ al-Turāth al-ʿArabī</b:Publisher>
    <b:Edition>1</b:Edition>
    <b:RefOrder>37</b:RefOrder>
  </b:Source>
  <b:Source>
    <b:Tag>alJ92</b:Tag>
    <b:SourceType>Book</b:SourceType>
    <b:Guid>{26F917F4-278C-48F8-9971-430DB3926C04}</b:Guid>
    <b:Author>
      <b:Author>
        <b:NameList>
          <b:Person>
            <b:Last>al-Juwaynī</b:Last>
            <b:First>Abu</b:First>
            <b:Middle>al-Maʿālī ʿAbd al-Malik b. ʿAbd Allāh b. Yūsuf</b:Middle>
          </b:Person>
        </b:NameList>
      </b:Author>
      <b:Editor>
        <b:NameList>
          <b:Person>
            <b:Last>al-Kawtharī</b:Last>
            <b:First>Muḥammad</b:First>
            <b:Middle>Zāhid</b:Middle>
          </b:Person>
        </b:NameList>
      </b:Editor>
    </b:Author>
    <b:Title>al-ʿAqīdah al-Niẓāmīyyah fi al-Arkān al-Islāmīyyah</b:Title>
    <b:Year>1992</b:Year>
    <b:City>Egypt</b:City>
    <b:Publisher>Maktabah al_Azharīyyah li al-Turāth</b:Publisher>
    <b:Edition>1</b:Edition>
    <b:RefOrder>34</b:RefOrder>
  </b:Source>
  <b:Source>
    <b:Tag>AlM</b:Tag>
    <b:SourceType>Book</b:SourceType>
    <b:Guid>{EB97AFB5-A6A9-489E-8998-30513B628109}</b:Guid>
    <b:Author>
      <b:Author>
        <b:NameList>
          <b:Person>
            <b:Last>Al-Makkī</b:Last>
            <b:First>Abū</b:First>
            <b:Middle>Ṭālib Muḥammad b. ʿAlī</b:Middle>
          </b:Person>
        </b:NameList>
      </b:Author>
    </b:Author>
    <b:Title>Qūt al-Qulūb fī Muʿāmalat al-Maḥbūb wa waṣf Ṭarīq al-Murīd ilā Maqām al-Tawḥīd</b:Title>
    <b:Publisher>al-Maktabah al-Shāmilah</b:Publisher>
    <b:Volume>2</b:Volume>
    <b:Edition>1</b:Edition>
    <b:RefOrder>33</b:RefOrder>
  </b:Source>
  <b:Source>
    <b:Tag>AlN01</b:Tag>
    <b:SourceType>Book</b:SourceType>
    <b:Guid>{8CA9D13D-84EA-4AF3-A24A-9690BB8254A4}</b:Guid>
    <b:Author>
      <b:Author>
        <b:NameList>
          <b:Person>
            <b:Last>Al-Nawawī</b:Last>
            <b:First>Abū</b:First>
            <b:Middle>Zakarīyyā Yaḥya b. Sharf</b:Middle>
          </b:Person>
        </b:NameList>
      </b:Author>
    </b:Author>
    <b:Title>al-Minhāj fī Sharḥ Ṣaḥīḥ Muslim b. al-Ḥajjāj</b:Title>
    <b:Year>2001</b:Year>
    <b:Publisher>Bayt al-Afkār al-Duwalīyya li-l-Nashr wa al-Tawzīʿ</b:Publisher>
    <b:Volume>1</b:Volume>
    <b:Edition>1</b:Edition>
    <b:RefOrder>28</b:RefOrder>
  </b:Source>
  <b:Source>
    <b:Tag>AlN96</b:Tag>
    <b:SourceType>Book</b:SourceType>
    <b:Guid>{D391927B-10EF-4993-AB8A-8827E6DCBD5C}</b:Guid>
    <b:Author>
      <b:Author>
        <b:NameList>
          <b:Person>
            <b:Last>Al-Nawawī</b:Last>
            <b:First>Abū</b:First>
            <b:Middle>Zakarīyyā Yaḥya b. Sharf. Ibn al-ʿAṭṭār, ʿAlāʾ al-Dīn</b:Middle>
          </b:Person>
        </b:NameList>
      </b:Author>
      <b:Editor>
        <b:NameList>
          <b:Person>
            <b:Last>al-Ḥajjāt</b:Last>
            <b:First>Muḥammad</b:First>
          </b:Person>
        </b:NameList>
      </b:Editor>
    </b:Author>
    <b:Title>Fatāwa al-Imām al-Nawawī al-Musammā bi al-Masāʾil al-Manthūrah</b:Title>
    <b:Year>1996</b:Year>
    <b:City>Bayrūt</b:City>
    <b:Publisher>Dār al-Bashāʾir al-Islāmīyyah</b:Publisher>
    <b:CountryRegion>Lebanon</b:CountryRegion>
    <b:RefOrder>12</b:RefOrder>
  </b:Source>
  <b:Source>
    <b:Tag>AlQ</b:Tag>
    <b:SourceType>Book</b:SourceType>
    <b:Guid>{F9270BB8-EFF7-48A4-9999-0EBD81722601}</b:Guid>
    <b:Author>
      <b:Author>
        <b:NameList>
          <b:Person>
            <b:Last>Al-Qārī</b:Last>
            <b:First>Nūr</b:First>
            <b:Middle>al-Dīn Abu al-Ḥasan al-Mullā ʿAlī b. Sulṭān Muḥammad al-Harawī al-Makkī</b:Middle>
          </b:Person>
        </b:NameList>
      </b:Author>
      <b:Editor>
        <b:NameList>
          <b:Person>
            <b:Last>al-Ṣabbāgh</b:Last>
            <b:First>Muḥāmmad</b:First>
            <b:Middle>b. Laṭāʾif</b:Middle>
          </b:Person>
        </b:NameList>
      </b:Editor>
    </b:Author>
    <b:Title>al-Asrār al-Marfūʿah fi al-Akhbār al-Mawḍūʿāh (al-Mawḍūʿāt al-Kubrā)</b:Title>
    <b:Year>1986</b:Year>
    <b:City>Dimashq</b:City>
    <b:Publisher>Maktabah al-Islāmī</b:Publisher>
    <b:Edition>2</b:Edition>
    <b:RefOrder>16</b:RefOrder>
  </b:Source>
  <b:Source>
    <b:Tag>AlQ13</b:Tag>
    <b:SourceType>Book</b:SourceType>
    <b:Guid>{B5D0E75B-D105-4A5A-A291-864B6B9C07A9}</b:Guid>
    <b:Author>
      <b:Author>
        <b:NameList>
          <b:Person>
            <b:Last>Al-Qārī</b:Last>
            <b:First>Nūr</b:First>
            <b:Middle>al-Dīn Abu al-Ḥasan al-Mullā ʿAlī b. Sulṭān Muḥammad al-Harawī al-Makkī</b:Middle>
          </b:Person>
        </b:NameList>
      </b:Author>
      <b:Editor>
        <b:NameList>
          <b:Person>
            <b:Last>Haddad</b:Last>
            <b:First>Gibril</b:First>
            <b:Middle>Fouad</b:Middle>
          </b:Person>
        </b:NameList>
      </b:Editor>
    </b:Author>
    <b:Title>Encyplopedia of Hadith Forgery</b:Title>
    <b:Year>2013</b:Year>
    <b:City>UK</b:City>
    <b:Publisher>Beacon Books</b:Publisher>
    <b:Edition>1</b:Edition>
    <b:RefOrder>30</b:RefOrder>
  </b:Source>
  <b:Source>
    <b:Tag>alR83</b:Tag>
    <b:SourceType>Book</b:SourceType>
    <b:Guid>{FC472745-9FD0-49CA-9DBA-015E8CCCCCAF}</b:Guid>
    <b:Author>
      <b:Author>
        <b:NameList>
          <b:Person>
            <b:Last>al-Rāghib al-Iṣfahānī</b:Last>
            <b:First>Abu</b:First>
            <b:Middle>al-Qāsim al-Ḥusayn b. Mufaḍḍāl b. Muḥammad</b:Middle>
          </b:Person>
        </b:NameList>
      </b:Author>
    </b:Author>
    <b:Title>Tafṣīl al-Nashʾatayn wa Taḥṣīl al-Saʿādatayn</b:Title>
    <b:Year>1983</b:Year>
    <b:City>Bayrūt</b:City>
    <b:Publisher>Manshūrāt Dār Maktabah al-Ḥayāt</b:Publisher>
    <b:RefOrder>5</b:RefOrder>
  </b:Source>
  <b:Source>
    <b:Tag>Placeholder8</b:Tag>
    <b:SourceType>Book</b:SourceType>
    <b:Guid>{93925AF2-73E6-4005-9494-7CE20A4E2398}</b:Guid>
    <b:Author>
      <b:Author>
        <b:NameList>
          <b:Person>
            <b:Last>Al-Rāzī</b:Last>
            <b:First>Fakhr</b:First>
            <b:Middle>al-Dīn</b:Middle>
          </b:Person>
        </b:NameList>
      </b:Author>
    </b:Author>
    <b:Title>Mafātīḥ al-Ghayb (The Keys to the Unseen)</b:Title>
    <b:Year>1981</b:Year>
    <b:City>Bayrūt</b:City>
    <b:Publisher>Dār al-Fikr</b:Publisher>
    <b:Volume>1</b:Volume>
    <b:ShortTitle>al-Tafsīr al-Kabīr</b:ShortTitle>
    <b:RefOrder>10</b:RefOrder>
  </b:Source>
  <b:Source>
    <b:Tag>AlS80</b:Tag>
    <b:SourceType>Book</b:SourceType>
    <b:Guid>{76706DCA-BE29-4404-AF09-A0AFAEF1DA5E}</b:Guid>
    <b:Author>
      <b:Author>
        <b:NameList>
          <b:Person>
            <b:Last>Al-Saghānī</b:Last>
            <b:First>Raḍīyy</b:First>
            <b:Middle>al-Dīn al-Ḥasan b. Muḥammad al-Ḥasan al-Lahawrī</b:Middle>
          </b:Person>
        </b:NameList>
      </b:Author>
    </b:Author>
    <b:Title>al-Mawḍū'āt (Mawḍū'āt al-Ṣaghānī)</b:Title>
    <b:Year>1980</b:Year>
    <b:City>Cairo, Egypt</b:City>
    <b:Publisher>Dār Nāfi' li al-Ṯabā'ah wa al-Nashr</b:Publisher>
    <b:RefOrder>14</b:RefOrder>
  </b:Source>
  <b:Source>
    <b:Tag>alS</b:Tag>
    <b:SourceType>Book</b:SourceType>
    <b:Guid>{CA0743FC-9C38-46FA-8ADB-085113166245}</b:Guid>
    <b:Author>
      <b:Author>
        <b:NameList>
          <b:Person>
            <b:Last>al-Sakhāwī</b:Last>
            <b:First>Muḥammad</b:First>
            <b:Middle>b. ʿAbd al-Raḥmān</b:Middle>
          </b:Person>
        </b:NameList>
      </b:Author>
    </b:Author>
    <b:Title>al-Maqāṣid al-Ḥasanah</b:Title>
    <b:Year>1985</b:Year>
    <b:RefOrder>45</b:RefOrder>
  </b:Source>
  <b:Source>
    <b:Tag>alS97</b:Tag>
    <b:SourceType>Book</b:SourceType>
    <b:Guid>{73E00A90-F447-4265-8EE9-87FEE4A40C22}</b:Guid>
    <b:Author>
      <b:Author>
        <b:NameList>
          <b:Person>
            <b:Last>al-Samʿānī</b:Last>
            <b:First>Abu</b:First>
            <b:Middle>al-Muzaffar Manṣūr b. Muḥammad al-Ḥanafī then al-Shafiʿī</b:Middle>
          </b:Person>
        </b:NameList>
      </b:Author>
    </b:Author>
    <b:Title>Qawāṭiʿ al-Adillah fī al- al-Uṣūl</b:Title>
    <b:Year>1997</b:Year>
    <b:City>Bayrūt</b:City>
    <b:Publisher>Dār al-Kutub al-ʿIlmīyyah</b:Publisher>
    <b:Volume>2</b:Volume>
    <b:RefOrder>46</b:RefOrder>
  </b:Source>
  <b:Source>
    <b:Tag>AlI00</b:Tag>
    <b:SourceType>Book</b:SourceType>
    <b:Guid>{DC6421B5-AA8F-4A36-8448-8D0E6A46E432}</b:Guid>
    <b:Author>
      <b:Author>
        <b:NameList>
          <b:Person>
            <b:Last>Al-Suyūṭī</b:Last>
            <b:First>Jalāl</b:First>
            <b:Middle>al-Dīn</b:Middle>
          </b:Person>
        </b:NameList>
      </b:Author>
    </b:Author>
    <b:Title>Al-Hāwī li al-Fatāwī</b:Title>
    <b:Year>2000</b:Year>
    <b:City>Beirut, Lebanon</b:City>
    <b:Publisher>Dār al-kutub al-'ilmiyyah</b:Publisher>
    <b:Volume>2</b:Volume>
    <b:RefOrder>40</b:RefOrder>
  </b:Source>
  <b:Source>
    <b:Tag>AlI06</b:Tag>
    <b:SourceType>Book</b:SourceType>
    <b:Guid>{C9A41CE9-6F89-4AE1-AE40-AFE4F34CBE94}</b:Guid>
    <b:Author>
      <b:Author>
        <b:NameList>
          <b:Person>
            <b:Last>Al-Suyūṭī</b:Last>
            <b:First>Jalāl</b:First>
            <b:Middle>al-Dīn</b:Middle>
          </b:Person>
        </b:NameList>
      </b:Author>
    </b:Author>
    <b:Title>Al-Qawl al-Ashbah</b:Title>
    <b:Year>2006</b:Year>
    <b:Publisher>Maktabah Noor</b:Publisher>
    <b:RefOrder>13</b:RefOrder>
  </b:Source>
  <b:Source>
    <b:Tag>AlS84</b:Tag>
    <b:SourceType>Book</b:SourceType>
    <b:Guid>{59359CD4-E919-4B75-B2E2-C033E1EE6579}</b:Guid>
    <b:Author>
      <b:Author>
        <b:NameList>
          <b:Person>
            <b:Last>Al-Suyūṭī</b:Last>
            <b:First>Jalāl</b:First>
            <b:Middle>al-Dīn</b:Middle>
          </b:Person>
        </b:NameList>
      </b:Author>
    </b:Author>
    <b:Title>Taḥdhīr al-Khawāṣṣ min Akādhīb al-Quṣṣāṣ</b:Title>
    <b:Year>1984</b:Year>
    <b:City>Bayrūt</b:City>
    <b:Publisher>Maktab al-Islāmī</b:Publisher>
    <b:Edition>2</b:Edition>
    <b:RefOrder>31</b:RefOrder>
  </b:Source>
  <b:Source>
    <b:Tag>alW94</b:Tag>
    <b:SourceType>Book</b:SourceType>
    <b:Guid>{D53A8B25-342B-466D-B961-32DB13646433}</b:Guid>
    <b:Author>
      <b:Author>
        <b:NameList>
          <b:Person>
            <b:Last>al-Wāḥidī</b:Last>
            <b:First>ʿAlī</b:First>
            <b:Middle>b. Aḥmad b. Muḥammad al-Naysābūrī al-Shāfiʿī</b:Middle>
          </b:Person>
        </b:NameList>
      </b:Author>
    </b:Author>
    <b:Title>al-Waṣīṭ fī Tafsīr al-Qurʾān al-Majīd</b:Title>
    <b:Year>1994</b:Year>
    <b:City>Bayrūt</b:City>
    <b:Publisher>Dār al-Kutub al-ʿIlmīyyah</b:Publisher>
    <b:Volume>1</b:Volume>
    <b:RefOrder>3</b:RefOrder>
  </b:Source>
  <b:Source>
    <b:Tag>AlW48</b:Tag>
    <b:SourceType>Book</b:SourceType>
    <b:Guid>{006FB55C-C0BD-45D2-A255-988306EF0AFB}</b:Guid>
    <b:Title>al-Ḥīkam wa al-Mawāʿiẓ</b:Title>
    <b:Year>1948</b:Year>
    <b:Publisher>Dār al-Ḥadīth</b:Publisher>
    <b:Author>
      <b:Author>
        <b:NameList>
          <b:Person>
            <b:Last>Al-Wāsiṭī</b:Last>
            <b:First>Abu</b:First>
            <b:Middle>al-Ḥasan ʿAlī b. Muḥammad al-Laythī</b:Middle>
          </b:Person>
        </b:NameList>
      </b:Author>
    </b:Author>
    <b:RefOrder>22</b:RefOrder>
  </b:Source>
  <b:Source>
    <b:Tag>Bel20</b:Tag>
    <b:SourceType>Book</b:SourceType>
    <b:Guid>{2D3B915C-D093-443F-A834-B17AFCFDEA25}</b:Guid>
    <b:Title>Modern Hadith Studies: Continuing Debates and New Approaches</b:Title>
    <b:Year>2020</b:Year>
    <b:Author>
      <b:Author>
        <b:NameList>
          <b:Person>
            <b:Last>Belal Abu al-Abbas</b:Last>
            <b:First>Christopher</b:First>
            <b:Middle>Melchert, and Micheal Dann</b:Middle>
          </b:Person>
        </b:NameList>
      </b:Author>
    </b:Author>
    <b:City>UK</b:City>
    <b:Publisher>Edinburgh University Press</b:Publisher>
    <b:RefOrder>24</b:RefOrder>
  </b:Source>
  <b:Source>
    <b:Tag>Dan19</b:Tag>
    <b:SourceType>Book</b:SourceType>
    <b:Guid>{FE8ACCB0-5133-4159-8E4E-ABCE9E6EB404}</b:Guid>
    <b:Author>
      <b:Author>
        <b:NameList>
          <b:Person>
            <b:Last>Brown</b:Last>
            <b:First>Daniel</b:First>
            <b:Middle>W.</b:Middle>
          </b:Person>
        </b:NameList>
      </b:Author>
    </b:Author>
    <b:Title>The Wiley Blackwell Concise Companion to the Hadith</b:Title>
    <b:Year>2019</b:Year>
    <b:City>Hoboken, USA</b:City>
    <b:Publisher>John Wiley &amp; Sons Ltd</b:Publisher>
    <b:RefOrder>23</b:RefOrder>
  </b:Source>
  <b:Source>
    <b:Tag>Bro09</b:Tag>
    <b:SourceType>Book</b:SourceType>
    <b:Guid>{8ABB57A5-BA9A-482D-AAAA-23C87CE50D46}</b:Guid>
    <b:Author>
      <b:Author>
        <b:NameList>
          <b:Person>
            <b:Last>Brown</b:Last>
            <b:First>Jonathan</b:First>
            <b:Middle>A.C</b:Middle>
          </b:Person>
        </b:NameList>
      </b:Author>
    </b:Author>
    <b:Title>Did the Prophet Say It or Not</b:Title>
    <b:Year>2009</b:Year>
    <b:City>Washington </b:City>
    <b:RefOrder>47</b:RefOrder>
  </b:Source>
  <b:Source>
    <b:Tag>Bro11</b:Tag>
    <b:SourceType>Book</b:SourceType>
    <b:Guid>{71470DFB-07EC-44ED-BBA4-23DF11823B52}</b:Guid>
    <b:Author>
      <b:Author>
        <b:NameList>
          <b:Person>
            <b:Last>Brown</b:Last>
            <b:First>Jonathan</b:First>
            <b:Middle>A.C</b:Middle>
          </b:Person>
        </b:NameList>
      </b:Author>
    </b:Author>
    <b:Title>Even If It's Not True It's True</b:Title>
    <b:Year>2011</b:Year>
    <b:Publisher>J. Islamic Law and Society</b:Publisher>
    <b:RefOrder>48</b:RefOrder>
  </b:Source>
  <b:Source>
    <b:Tag>Bro</b:Tag>
    <b:SourceType>Book</b:SourceType>
    <b:Guid>{EA3761A0-4C03-4ABC-AB5C-80D2EA5FC68F}</b:Guid>
    <b:Author>
      <b:Author>
        <b:NameList>
          <b:Person>
            <b:Last>Brown</b:Last>
            <b:First>Jonathan</b:First>
            <b:Middle>A.C.</b:Middle>
          </b:Person>
        </b:NameList>
      </b:Author>
    </b:Author>
    <b:Title>Hadith: Muḥammad Legacy in the Medieval and Modern World (Foundations of Islam)</b:Title>
    <b:Publisher>One World Publications</b:Publisher>
    <b:RefOrder>26</b:RefOrder>
  </b:Source>
  <b:Source>
    <b:Tag>Bro1</b:Tag>
    <b:SourceType>Book</b:SourceType>
    <b:Guid>{08884579-CE60-49A3-BF44-6FB95AF185EF}</b:Guid>
    <b:Author>
      <b:Author>
        <b:NameList>
          <b:Person>
            <b:Last>Brown</b:Last>
            <b:First>Jonathan</b:First>
            <b:Middle>A.C.</b:Middle>
          </b:Person>
        </b:NameList>
      </b:Author>
    </b:Author>
    <b:Title>The Canonization of Islamic Law: A Social and Intellectual History</b:Title>
    <b:Year>2017</b:Year>
    <b:City>Cambridge, UK</b:City>
    <b:Publisher>Cambridge University Press</b:Publisher>
    <b:RefOrder>49</b:RefOrder>
  </b:Source>
  <b:Source>
    <b:Tag>Had05</b:Tag>
    <b:SourceType>Book</b:SourceType>
    <b:Guid>{F392D613-7706-4F4C-97E9-1E38876BBC1A}</b:Guid>
    <b:Author>
      <b:Author>
        <b:NameList>
          <b:Person>
            <b:Last>Haddad</b:Last>
            <b:First>Gibril</b:First>
            <b:Middle>Fouad</b:Middle>
          </b:Person>
        </b:NameList>
      </b:Author>
    </b:Author>
    <b:Title>Sunna Notes I</b:Title>
    <b:Year>2005</b:Year>
    <b:City>Germany</b:City>
    <b:Publisher>Warda Publications</b:Publisher>
    <b:RefOrder>50</b:RefOrder>
  </b:Source>
  <b:Source>
    <b:Tag>Had051</b:Tag>
    <b:SourceType>Book</b:SourceType>
    <b:Guid>{A20C4CE1-1D7D-497B-B42C-78BC5DF8B731}</b:Guid>
    <b:Title>Sunna Notes: Studies in Ḥadith and Doctrine</b:Title>
    <b:Year>2005</b:Year>
    <b:City>Germany</b:City>
    <b:Publisher>WARDA Publications</b:Publisher>
    <b:Author>
      <b:Author>
        <b:NameList>
          <b:Person>
            <b:Last>Haddad</b:Last>
            <b:First>Gibril</b:First>
            <b:Middle>Fouad</b:Middle>
          </b:Person>
        </b:NameList>
      </b:Author>
    </b:Author>
    <b:Volume>1</b:Volume>
    <b:Edition>1</b:Edition>
    <b:RefOrder>29</b:RefOrder>
  </b:Source>
  <b:Source>
    <b:Tag>Hol16</b:Tag>
    <b:SourceType>JournalArticle</b:SourceType>
    <b:Guid>{CC6E1C94-E0B6-4CAB-80A2-64845B77F2AE}</b:Guid>
    <b:Author>
      <b:Author>
        <b:NameList>
          <b:Person>
            <b:Last>Holtzman</b:Last>
            <b:First>Livnat</b:First>
          </b:Person>
        </b:NameList>
      </b:Author>
    </b:Author>
    <b:Title>Ibn Taymiyya's Criticism of Shīʿī and Ṣūfīs Practices: The Case of Mystical Unveiling (Kashf)</b:Title>
    <b:Year>2016</b:Year>
    <b:JournalName>Middle Eastern Studies 46</b:JournalName>
    <b:Pages>251-264</b:Pages>
    <b:Issue>2</b:Issue>
    <b:RefOrder>51</b:RefOrder>
  </b:Source>
  <b:Source>
    <b:Tag>Hou19</b:Tag>
    <b:SourceType>Book</b:SourceType>
    <b:Guid>{60C20E16-C68A-4CB6-A40D-500DEC0B34CA}</b:Guid>
    <b:Author>
      <b:Author>
        <b:NameList>
          <b:Person>
            <b:Last>Houedard</b:Last>
            <b:First>Dom</b:First>
            <b:Middle>Sylvester</b:Middle>
          </b:Person>
        </b:NameList>
      </b:Author>
    </b:Author>
    <b:Title> Notes on the More than Human Saying: “Unless you know yourself, you cannot know God”</b:Title>
    <b:Year>2019</b:Year>
    <b:Publisher>Muhyiddin Ibn ‘Arabi Society</b:Publisher>
    <b:RefOrder>38</b:RefOrder>
  </b:Source>
  <b:Source>
    <b:Tag>Ibn86</b:Tag>
    <b:SourceType>Book</b:SourceType>
    <b:Guid>{45DD0EE8-19E0-4467-889A-F9A3EB834DBE}</b:Guid>
    <b:Author>
      <b:Author>
        <b:NameList>
          <b:Person>
            <b:Last>Ibn al-"Arabī</b:Last>
            <b:First>Abū</b:First>
            <b:Middle>Bakr</b:Middle>
          </b:Person>
        </b:NameList>
      </b:Author>
    </b:Author>
    <b:Title>Qānūn al-Taʾwīl, Dhikr Maʿrifat al-Nafs</b:Title>
    <b:Year>1986</b:Year>
    <b:City>Bayrūt</b:City>
    <b:Publisher>Muʾassasah ʿUlūm al-Qurʾān</b:Publisher>
    <b:RefOrder>7</b:RefOrder>
  </b:Source>
  <b:Source>
    <b:Tag>alḤ06</b:Tag>
    <b:SourceType>Book</b:SourceType>
    <b:Guid>{98F2C07D-00D1-4910-9264-2916042DDBA9}</b:Guid>
    <b:Author>
      <b:Author>
        <b:NameList>
          <b:Person>
            <b:Last>Ibn al-Ḥajjāj</b:Last>
            <b:First>Muslim</b:First>
          </b:Person>
        </b:NameList>
      </b:Author>
    </b:Author>
    <b:Title>Saḥīḥ Muslim</b:Title>
    <b:Year>2006</b:Year>
    <b:City>Cairo</b:City>
    <b:Publisher>Dār Ṯaybah li al-Nashr wa al-Tauzī'</b:Publisher>
    <b:Edition>1</b:Edition>
    <b:RefOrder>52</b:RefOrder>
  </b:Source>
  <b:Source>
    <b:Tag>Ibn92</b:Tag>
    <b:SourceType>Book</b:SourceType>
    <b:Guid>{A96C8E0F-6977-4903-87CB-EFFF872D4D9F}</b:Guid>
    <b:Title>Talbīs Iblīs</b:Title>
    <b:Year>1992</b:Year>
    <b:Author>
      <b:Author>
        <b:NameList>
          <b:Person>
            <b:Last>Ibn al-Jawzī</b:Last>
            <b:First>Abū</b:First>
            <b:Middle>al-Farash ʿAbd al-Raḥmān b. ʿAlī</b:Middle>
          </b:Person>
        </b:NameList>
      </b:Author>
    </b:Author>
    <b:City>Bayrūt</b:City>
    <b:Publisher>Dār al-Kutub al-ʿArabī</b:Publisher>
    <b:RefOrder>53</b:RefOrder>
  </b:Source>
  <b:Source>
    <b:Tag>Ibn1</b:Tag>
    <b:SourceType>Book</b:SourceType>
    <b:Guid>{F97570FE-95FE-4EA7-93BA-DE7AFEF596D8}</b:Guid>
    <b:Author>
      <b:Author>
        <b:NameList>
          <b:Person>
            <b:Last>Ibn al-Ṣalāḥ</b:Last>
            <b:First>Shams</b:First>
            <b:Middle>al-Dīn</b:Middle>
          </b:Person>
        </b:NameList>
      </b:Author>
    </b:Author>
    <b:Title>al-Muqaddimah fī ʿUlūm al-Ḥadīth</b:Title>
    <b:Year>1986</b:Year>
    <b:City>Cairo</b:City>
    <b:Publisher>Dār al-Fikr</b:Publisher>
    <b:RefOrder>54</b:RefOrder>
  </b:Source>
  <b:Source>
    <b:Tag>Placeholder9</b:Tag>
    <b:SourceType>Book</b:SourceType>
    <b:Guid>{900DF4A2-29AE-4EF3-8D00-AE9D9AB3D673}</b:Guid>
    <b:Author>
      <b:Author>
        <b:NameList>
          <b:Person>
            <b:Last>Ibn ʿArabī</b:Last>
            <b:First>Abū</b:First>
            <b:Middle>ʿAbd Allāh Muḥammad b. ʿAl al-Ṭāʾī al-Ḥātimī</b:Middle>
          </b:Person>
        </b:NameList>
      </b:Author>
    </b:Author>
    <b:Title>al-Futūḥāt al-Makkīyyah</b:Title>
    <b:Year>2022</b:Year>
    <b:Publisher>Dār Ṣādir</b:Publisher>
    <b:Volume>1</b:Volume>
    <b:RefOrder>8</b:RefOrder>
  </b:Source>
  <b:Source>
    <b:Tag>Ibn04</b:Tag>
    <b:SourceType>Book</b:SourceType>
    <b:Guid>{2FD4E401-CA43-47D3-A444-0937CBBBFCA2}</b:Guid>
    <b:Author>
      <b:Author>
        <b:NameList>
          <b:Person>
            <b:Last>Ibn ʿArabī</b:Last>
            <b:First>Abū</b:First>
            <b:Middle>ʿAbd Allāh Muḥammad b. ʿAlī al-Ṭāʾī al-Ḥātimī</b:Middle>
          </b:Person>
        </b:NameList>
      </b:Author>
    </b:Author>
    <b:Title>Al-Risālat al-Wujūdīyah Fī Ma’na Qawlihi ﷺ Man ‘Arafa Nafsahu Fa-qad ‘Arafa Rabbahu</b:Title>
    <b:Year>2004</b:Year>
    <b:City>Beirut</b:City>
    <b:RefOrder>9</b:RefOrder>
  </b:Source>
  <b:Source>
    <b:Tag>Tay61</b:Tag>
    <b:SourceType>Book</b:SourceType>
    <b:Guid>{DB6A59BE-9A69-4346-866D-0D2C4071BBCD}</b:Guid>
    <b:Author>
      <b:Author>
        <b:NameList>
          <b:Person>
            <b:Last>Ibn Taymīyyah</b:Last>
            <b:First>Taqī</b:First>
            <b:Middle>al-Dīn Abū al-ʿAbbās Aḥmad b. ʿAbd al-Ḥalīm al-Ḥarrānī</b:Middle>
          </b:Person>
        </b:NameList>
      </b:Author>
      <b:Editor>
        <b:NameList>
          <b:Person>
            <b:Last>Qāsim</b:Last>
            <b:First>ʿAbd</b:First>
            <b:Middle>al-Raḥīm b.</b:Middle>
          </b:Person>
        </b:NameList>
      </b:Editor>
    </b:Author>
    <b:Title>Majmūʿ al-Fatāwā</b:Title>
    <b:Year>1961</b:Year>
    <b:City>Riyāḍ</b:City>
    <b:Publisher>Maktabah al-Maʿārif</b:Publisher>
    <b:Volume>11</b:Volume>
    <b:RefOrder>39</b:RefOrder>
  </b:Source>
  <b:Source>
    <b:Tag>Jam</b:Tag>
    <b:SourceType>JournalArticle</b:SourceType>
    <b:Guid>{CFE44295-9C6E-45D1-B50A-29B6665394DD}</b:Guid>
    <b:Title>The Sufi Path of Knowledge: Ibn ʿArabi's Metaphysics of Imagination</b:Title>
    <b:City>America</b:City>
    <b:Author>
      <b:Author>
        <b:NameList>
          <b:Person>
            <b:Last>James William Morris</b:Last>
            <b:First>William</b:First>
            <b:Middle>C. Chittick, and Ibn ʿArabī</b:Middle>
          </b:Person>
        </b:NameList>
      </b:Author>
    </b:Author>
    <b:JournalName>Journal of the American Oriental Society 111</b:JournalName>
    <b:RefOrder>55</b:RefOrder>
  </b:Source>
  <b:Source>
    <b:Tag>Koe83</b:Tag>
    <b:SourceType>Book</b:SourceType>
    <b:Guid>{2AE1C1EE-0FA3-4321-9451-63EABC6FA990}</b:Guid>
    <b:Author>
      <b:Author>
        <b:NameList>
          <b:Person>
            <b:Last>Koelberg</b:Last>
            <b:First>E.</b:First>
          </b:Person>
        </b:NameList>
      </b:Author>
      <b:Editor>
        <b:NameList>
          <b:Person>
            <b:Last>A. F. L. Beeston</b:Last>
            <b:First>T.</b:First>
            <b:Middle>M. Johnson, R. B. Serjeant, and G. R. Smith</b:Middle>
          </b:Person>
        </b:NameList>
      </b:Editor>
    </b:Author>
    <b:Title>Shīʿī Ḥadīth. Chp. In Arabic Literature to the End of the Umayyad Period</b:Title>
    <b:Year>1983</b:Year>
    <b:City>Cambridge</b:City>
    <b:Publisher>Cambridge University</b:Publisher>
    <b:RefOrder>17</b:RefOrder>
  </b:Source>
  <b:Source>
    <b:Tag>Zuh08</b:Tag>
    <b:SourceType>Book</b:SourceType>
    <b:Guid>{B6E944C0-ABB5-4077-AF57-D6A1272E25D1}</b:Guid>
    <b:Author>
      <b:Author>
        <b:NameList>
          <b:Person>
            <b:Last>Zuhār</b:Last>
            <b:First>ʿAdnān</b:First>
            <b:Middle>ʿAbd Allāh</b:Middle>
          </b:Person>
        </b:NameList>
      </b:Author>
    </b:Author>
    <b:Title>Juhūd al-Ṣūfīyyah fī Khidmat al-Ḥadīth Riwāyatan wa Dirāyatan</b:Title>
    <b:Year>2008</b:Year>
    <b:Edition>1</b:Edition>
    <b:RefOrder>25</b:RefOrder>
  </b:Source>
  <b:Source>
    <b:Tag>alI06</b:Tag>
    <b:SourceType>Book</b:SourceType>
    <b:Guid>{B9EEFB19-D9B3-4DE0-A1DF-5A6F8BC3F3FF}</b:Guid>
    <b:Author>
      <b:Author>
        <b:NameList>
          <b:Person>
            <b:Last>al-Iskandarī</b:Last>
            <b:First>Aḥmad</b:First>
            <b:Middle>b. Muḥammad b. ʿAbd al-Karīm Ibn ʿAṭāʾ Allāh al-Judhamī al-Shādhilī</b:Middle>
          </b:Person>
        </b:NameList>
      </b:Author>
    </b:Author>
    <b:Title>Laṭāʾif al-Minan fī Manāqib al-Shaykh Abī al-ʿAbbās wa Shaykhī Abī al-Ḥasan</b:Title>
    <b:Year>2006</b:Year>
    <b:City>Cairo</b:City>
    <b:Publisher>Dār al-Maʿārif</b:Publisher>
    <b:RefOrder>11</b:RefOrder>
  </b:Source>
  <b:Source>
    <b:Tag>AlA85</b:Tag>
    <b:SourceType>Book</b:SourceType>
    <b:Guid>{B9E6BE96-5741-4A1E-BE7C-27C179A904C3}</b:Guid>
    <b:Author>
      <b:Author>
        <b:NameList>
          <b:Person>
            <b:Last>Al-Aḥsāʾī</b:Last>
            <b:First>Ibn</b:First>
            <b:Middle>Abi al-Jamhūr, Muḥammad b. ʿAlī b. Ibrāhīm al-Shaybānī al-Barī</b:Middle>
          </b:Person>
        </b:NameList>
      </b:Author>
    </b:Author>
    <b:Title>ʿAwālī al-Laʾālī</b:Title>
    <b:Year>1985</b:Year>
    <b:City>Qum</b:City>
    <b:Publisher>Maṭbaʿ Sayyid al-Shuhadā</b:Publisher>
    <b:Volume>4</b:Volume>
    <b:RefOrder>19</b:RefOrder>
  </b:Source>
  <b:Source>
    <b:Tag>alṢ80</b:Tag>
    <b:SourceType>Book</b:SourceType>
    <b:Guid>{A02CF6EE-9018-4F51-B31E-F1C0DEA3CBDB}</b:Guid>
    <b:Title>Miṣbāḥ al-Sharīʿah</b:Title>
    <b:Year>1980</b:Year>
    <b:Author>
      <b:Author>
        <b:NameList>
          <b:Person>
            <b:Last>al-Ṣādiq</b:Last>
            <b:First>Jaʿfar</b:First>
          </b:Person>
        </b:NameList>
      </b:Author>
    </b:Author>
    <b:City>Bayrūt</b:City>
    <b:Publisher>Muʾassasah al-Aʿlamī li al-Maṭbūʿāṭ</b:Publisher>
    <b:RefOrder>18</b:RefOrder>
  </b:Source>
  <b:Source>
    <b:Tag>alJ63</b:Tag>
    <b:SourceType>Book</b:SourceType>
    <b:Guid>{590013FD-7E7A-4069-9930-D33760753374}</b:Guid>
    <b:Author>
      <b:Author>
        <b:NameList>
          <b:Person>
            <b:Last>al-Jāḥiẓ</b:Last>
            <b:First>ʿAmr</b:First>
            <b:Middle>b. al-Baḥr al-Kinānī al-Baṣrī</b:Middle>
          </b:Person>
        </b:NameList>
      </b:Author>
      <b:Editor>
        <b:NameList>
          <b:Person>
            <b:Last>al-Amawī</b:Last>
            <b:First>Mīr</b:First>
            <b:Middle>Jalāl al-Dīn al-Ḥusaynī</b:Middle>
          </b:Person>
        </b:NameList>
      </b:Editor>
      <b:Translator>
        <b:NameList>
          <b:Person>
            <b:Last>Waṭwāṭ</b:Last>
            <b:First>Rashīd</b:First>
          </b:Person>
        </b:NameList>
      </b:Translator>
    </b:Author>
    <b:Title>Maṭlūb kulli ṭālib min kalām ʿAlī b. Abī Ṭālib</b:Title>
    <b:Year>1963</b:Year>
    <b:City>Tehran</b:City>
    <b:Publisher>Kitāb Khāna Markazī Dānish Gāh</b:Publisher>
    <b:RefOrder>20</b:RefOrder>
  </b:Source>
  <b:Source>
    <b:Tag>Placeholder10</b:Tag>
    <b:SourceType>Book</b:SourceType>
    <b:Guid>{C78BF44B-14E1-44CC-AC32-5140A7538233}</b:Guid>
    <b:Author>
      <b:Author>
        <b:NameList>
          <b:Person>
            <b:Last>Ibn Ḥibbān</b:Last>
            <b:First>Muḥammad</b:First>
            <b:Middle>al-Bustī</b:Middle>
          </b:Person>
        </b:NameList>
      </b:Author>
    </b:Author>
    <b:Title>al-Musnad al-Ṣaḥīḥ ʿalā al-Taqāsīm wa al-Anwāʿ, Dhikr Ithbāt al-Īmān li man Qaraʾa Sūrat al-Ikhlāṣ fī Rakʿatay al-Fajr</b:Title>
    <b:Year>2012</b:Year>
    <b:City>Bayrūt</b:City>
    <b:Publisher>Dār Ibn Ḥazm</b:Publisher>
    <b:Volume>6</b:Volume>
    <b:RefOrder>1</b:RefOrder>
  </b:Source>
</b:Sources>
</file>

<file path=customXml/itemProps1.xml><?xml version="1.0" encoding="utf-8"?>
<ds:datastoreItem xmlns:ds="http://schemas.openxmlformats.org/officeDocument/2006/customXml" ds:itemID="{5B01FAFD-D0EA-4531-A719-898F3E3EB7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131</Pages>
  <Words>28168</Words>
  <Characters>160563</Characters>
  <Application>Microsoft Office Word</Application>
  <DocSecurity>0</DocSecurity>
  <Lines>1338</Lines>
  <Paragraphs>376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insight</dc:creator>
  <cp:lastModifiedBy>insight</cp:lastModifiedBy>
  <cp:revision>3</cp:revision>
  <cp:lastPrinted>2025-01-07T11:25:00Z</cp:lastPrinted>
  <dcterms:created xsi:type="dcterms:W3CDTF">2025-01-07T11:25:00Z</dcterms:created>
  <dcterms:modified xsi:type="dcterms:W3CDTF">2025-01-07T11:35:00Z</dcterms:modified>
</cp:coreProperties>
</file>